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
<Relationship Id="rId1" Target="docProps/app.xml" Type="http://schemas.openxmlformats.org/officeDocument/2006/relationships/extended-properties"/>
<Relationship Id="rId2" Target="docProps/core.xml" Type="http://schemas.openxmlformats.org/package/2006/relationships/metadata/core-properties"/>
<Relationship Id="rId3" Target="docProps/custom.xml" Type="http://schemas.openxmlformats.org/officeDocument/2006/relationships/custom-properties"/>
<Relationship Id="rId4" Target="word/document.xml" Type="http://schemas.openxmlformats.org/officeDocument/2006/relationships/officeDocument"/>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C180C9">
      <w:bookmarkStart w:id="0" w:name="_GoBack"/>
      <w:bookmarkEnd w:id="0"/>
    </w:p>
    <w:p w14:paraId="22B24780"/>
    <w:p w14:paraId="24588E54"/>
    <w:tbl>
      <w:tblPr>
        <w:tblStyle w:val="5"/>
        <w:tblW w:w="8501" w:type="dxa"/>
        <w:tblInd w:w="-142" w:type="dxa"/>
        <w:tblLayout w:type="fixed"/>
        <w:tblCellMar>
          <w:top w:w="0" w:type="dxa"/>
          <w:left w:w="0" w:type="dxa"/>
          <w:bottom w:w="0" w:type="dxa"/>
          <w:right w:w="0" w:type="dxa"/>
        </w:tblCellMar>
      </w:tblPr>
      <w:tblGrid>
        <w:gridCol w:w="852"/>
        <w:gridCol w:w="366"/>
        <w:gridCol w:w="604"/>
        <w:gridCol w:w="612"/>
        <w:gridCol w:w="77"/>
        <w:gridCol w:w="831"/>
        <w:gridCol w:w="305"/>
        <w:gridCol w:w="475"/>
        <w:gridCol w:w="738"/>
        <w:gridCol w:w="422"/>
        <w:gridCol w:w="177"/>
        <w:gridCol w:w="614"/>
        <w:gridCol w:w="723"/>
        <w:gridCol w:w="490"/>
        <w:gridCol w:w="1215"/>
      </w:tblGrid>
      <w:tr w14:paraId="2BB36A79">
        <w:tblPrEx>
          <w:tblCellMar>
            <w:top w:w="0" w:type="dxa"/>
            <w:left w:w="0" w:type="dxa"/>
            <w:bottom w:w="0" w:type="dxa"/>
            <w:right w:w="0" w:type="dxa"/>
          </w:tblCellMar>
        </w:tblPrEx>
        <w:trPr>
          <w:trHeight w:val="535" w:hRule="atLeast"/>
        </w:trPr>
        <w:tc>
          <w:tcPr>
            <w:tcW w:w="8501" w:type="dxa"/>
            <w:gridSpan w:val="15"/>
            <w:tcBorders>
              <w:top w:val="nil"/>
              <w:left w:val="nil"/>
              <w:bottom w:val="single" w:color="auto" w:sz="4" w:space="0"/>
              <w:right w:val="nil"/>
            </w:tcBorders>
            <w:shd w:val="clear" w:color="auto" w:fill="auto"/>
            <w:noWrap/>
            <w:tcMar>
              <w:top w:w="15" w:type="dxa"/>
              <w:left w:w="15" w:type="dxa"/>
              <w:bottom w:w="0" w:type="dxa"/>
              <w:right w:w="15" w:type="dxa"/>
            </w:tcMar>
          </w:tcPr>
          <w:p w14:paraId="1502F556">
            <w:pPr>
              <w:jc w:val="center"/>
              <w:rPr>
                <w:rFonts w:cs="Arial"/>
                <w:b/>
                <w:bCs/>
                <w:color w:val="000000"/>
                <w:sz w:val="40"/>
                <w:szCs w:val="40"/>
              </w:rPr>
            </w:pPr>
            <w:r>
              <w:rPr>
                <w:rFonts w:hint="eastAsia" w:cs="Arial"/>
                <w:b/>
                <w:bCs/>
                <w:color w:val="000000"/>
                <w:sz w:val="40"/>
                <w:szCs w:val="40"/>
              </w:rPr>
              <w:t>苏州市级财政支出项目绩效自评价报告</w:t>
            </w:r>
          </w:p>
        </w:tc>
      </w:tr>
      <w:tr w14:paraId="42BD7D30">
        <w:tblPrEx>
          <w:tblCellMar>
            <w:top w:w="0" w:type="dxa"/>
            <w:left w:w="0" w:type="dxa"/>
            <w:bottom w:w="0" w:type="dxa"/>
            <w:right w:w="0" w:type="dxa"/>
          </w:tblCellMar>
        </w:tblPrEx>
        <w:trPr>
          <w:trHeight w:val="472" w:hRule="atLeast"/>
        </w:trPr>
        <w:tc>
          <w:tcPr>
            <w:tcW w:w="8501" w:type="dxa"/>
            <w:gridSpan w:val="1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42B06743">
            <w:pPr>
              <w:jc w:val="center"/>
              <w:rPr>
                <w:rFonts w:cs="Arial"/>
                <w:b/>
                <w:bCs/>
                <w:color w:val="000000"/>
                <w:sz w:val="36"/>
                <w:szCs w:val="36"/>
              </w:rPr>
            </w:pPr>
            <w:r>
              <w:rPr>
                <w:rFonts w:hint="eastAsia" w:cs="Arial"/>
                <w:b/>
                <w:bCs/>
                <w:color w:val="000000"/>
                <w:sz w:val="36"/>
                <w:szCs w:val="36"/>
              </w:rPr>
              <w:t>苏州市级财政支出项目绩效自评表</w:t>
            </w:r>
          </w:p>
        </w:tc>
      </w:tr>
      <w:tr w14:paraId="31BA0A7B">
        <w:tblPrEx>
          <w:tblCellMar>
            <w:top w:w="0" w:type="dxa"/>
            <w:left w:w="0" w:type="dxa"/>
            <w:bottom w:w="0" w:type="dxa"/>
            <w:right w:w="0" w:type="dxa"/>
          </w:tblCellMar>
        </w:tblPrEx>
        <w:trPr>
          <w:trHeight w:val="394" w:hRule="atLeast"/>
        </w:trPr>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192C829">
            <w:pPr>
              <w:jc w:val="center"/>
              <w:rPr>
                <w:rFonts w:cs="Arial"/>
                <w:color w:val="000000"/>
                <w:sz w:val="22"/>
              </w:rPr>
            </w:pPr>
            <w:r>
              <w:rPr>
                <w:rFonts w:hint="eastAsia" w:cs="Arial"/>
                <w:color w:val="000000"/>
                <w:sz w:val="22"/>
              </w:rPr>
              <w:t>项目名称</w:t>
            </w:r>
          </w:p>
        </w:tc>
        <w:tc>
          <w:tcPr>
            <w:tcW w:w="3460"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496DDD14">
            <w:pPr>
              <w:jc w:val="center"/>
              <w:rPr>
                <w:rFonts w:cs="Arial"/>
                <w:color w:val="000000"/>
                <w:sz w:val="22"/>
              </w:rPr>
            </w:pPr>
            <w:r>
              <w:rPr>
                <w:rFonts w:hint="eastAsia" w:ascii="宋体" w:hAnsi="宋体"/>
                <w:sz w:val="22"/>
              </w:rPr>
              <w:t>苏州市方志馆</w:t>
            </w:r>
          </w:p>
        </w:tc>
        <w:tc>
          <w:tcPr>
            <w:tcW w:w="1514"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37BF6F38">
            <w:pPr>
              <w:jc w:val="center"/>
              <w:rPr>
                <w:rFonts w:cs="Arial"/>
                <w:color w:val="000000"/>
                <w:sz w:val="22"/>
              </w:rPr>
            </w:pPr>
            <w:r>
              <w:rPr>
                <w:rFonts w:hint="eastAsia" w:cs="Arial"/>
                <w:color w:val="000000"/>
                <w:sz w:val="22"/>
              </w:rPr>
              <w:t>项目年份</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4E1E1890">
            <w:pPr>
              <w:jc w:val="center"/>
              <w:rPr>
                <w:rFonts w:hint="eastAsia" w:eastAsia="宋体" w:cs="Arial"/>
                <w:color w:val="000000"/>
                <w:sz w:val="22"/>
                <w:lang w:eastAsia="zh-CN"/>
              </w:rPr>
            </w:pPr>
            <w:r>
              <w:rPr>
                <w:rFonts w:hint="eastAsia" w:ascii="宋体" w:hAnsi="宋体"/>
                <w:sz w:val="22"/>
              </w:rPr>
              <w:t>2</w:t>
            </w:r>
            <w:r>
              <w:rPr>
                <w:rFonts w:ascii="宋体" w:hAnsi="宋体"/>
                <w:sz w:val="22"/>
              </w:rPr>
              <w:t>02</w:t>
            </w:r>
            <w:r>
              <w:rPr>
                <w:rFonts w:hint="eastAsia" w:ascii="宋体" w:hAnsi="宋体"/>
                <w:sz w:val="22"/>
                <w:lang w:val="en-US" w:eastAsia="zh-CN"/>
              </w:rPr>
              <w:t>4</w:t>
            </w:r>
          </w:p>
        </w:tc>
      </w:tr>
      <w:tr w14:paraId="211648C1">
        <w:tblPrEx>
          <w:tblCellMar>
            <w:top w:w="0" w:type="dxa"/>
            <w:left w:w="0" w:type="dxa"/>
            <w:bottom w:w="0" w:type="dxa"/>
            <w:right w:w="0" w:type="dxa"/>
          </w:tblCellMar>
        </w:tblPrEx>
        <w:trPr>
          <w:trHeight w:val="425" w:hRule="atLeast"/>
        </w:trPr>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B169E82">
            <w:pPr>
              <w:jc w:val="center"/>
              <w:rPr>
                <w:rFonts w:cs="Arial"/>
                <w:color w:val="000000"/>
                <w:sz w:val="22"/>
              </w:rPr>
            </w:pPr>
            <w:r>
              <w:rPr>
                <w:rFonts w:hint="eastAsia" w:cs="Arial"/>
                <w:color w:val="000000"/>
                <w:sz w:val="22"/>
              </w:rPr>
              <w:t>项目主管部门(单位)</w:t>
            </w:r>
          </w:p>
        </w:tc>
        <w:tc>
          <w:tcPr>
            <w:tcW w:w="6679" w:type="dxa"/>
            <w:gridSpan w:val="12"/>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4C571BB2">
            <w:pPr>
              <w:jc w:val="center"/>
              <w:rPr>
                <w:rFonts w:cs="Arial"/>
                <w:color w:val="000000"/>
                <w:sz w:val="22"/>
              </w:rPr>
            </w:pPr>
            <w:r>
              <w:rPr>
                <w:rFonts w:hint="eastAsia" w:ascii="宋体" w:hAnsi="宋体"/>
                <w:sz w:val="22"/>
              </w:rPr>
              <w:t>苏州市地方志编纂委员会办公室</w:t>
            </w:r>
          </w:p>
        </w:tc>
      </w:tr>
      <w:tr w14:paraId="1E309169">
        <w:tblPrEx>
          <w:tblCellMar>
            <w:top w:w="0" w:type="dxa"/>
            <w:left w:w="0" w:type="dxa"/>
            <w:bottom w:w="0" w:type="dxa"/>
            <w:right w:w="0" w:type="dxa"/>
          </w:tblCellMar>
        </w:tblPrEx>
        <w:trPr>
          <w:trHeight w:val="535" w:hRule="atLeast"/>
        </w:trPr>
        <w:tc>
          <w:tcPr>
            <w:tcW w:w="852"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66B6C2E">
            <w:pPr>
              <w:jc w:val="center"/>
              <w:rPr>
                <w:rFonts w:cs="Arial"/>
                <w:color w:val="000000"/>
                <w:sz w:val="22"/>
              </w:rPr>
            </w:pPr>
            <w:r>
              <w:rPr>
                <w:rFonts w:hint="eastAsia" w:cs="Arial"/>
                <w:color w:val="000000"/>
                <w:sz w:val="22"/>
              </w:rPr>
              <w:t>市级预算执行情况（万元）</w:t>
            </w:r>
          </w:p>
        </w:tc>
        <w:tc>
          <w:tcPr>
            <w:tcW w:w="970"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13ADE436">
            <w:pPr>
              <w:jc w:val="center"/>
              <w:rPr>
                <w:rFonts w:cs="Arial"/>
                <w:color w:val="000000"/>
                <w:sz w:val="22"/>
              </w:rPr>
            </w:pPr>
            <w:r>
              <w:rPr>
                <w:rFonts w:hint="eastAsia" w:cs="Arial"/>
                <w:color w:val="000000"/>
                <w:sz w:val="22"/>
              </w:rPr>
              <w:t>年初预算数</w:t>
            </w:r>
          </w:p>
        </w:tc>
        <w:tc>
          <w:tcPr>
            <w:tcW w:w="2300" w:type="dxa"/>
            <w:gridSpan w:val="5"/>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294CA7A3">
            <w:pPr>
              <w:overflowPunct w:val="0"/>
              <w:adjustRightInd w:val="0"/>
              <w:snapToGrid w:val="0"/>
              <w:jc w:val="center"/>
              <w:rPr>
                <w:rFonts w:hint="eastAsia" w:eastAsia="宋体"/>
                <w:snapToGrid w:val="0"/>
                <w:color w:val="000000"/>
                <w:kern w:val="0"/>
                <w:sz w:val="24"/>
                <w:szCs w:val="28"/>
                <w:highlight w:val="none"/>
              </w:rPr>
            </w:pPr>
            <w:r>
              <w:rPr>
                <w:rFonts w:hint="eastAsia" w:eastAsia="宋体"/>
                <w:snapToGrid w:val="0"/>
                <w:color w:val="000000"/>
                <w:kern w:val="0"/>
                <w:sz w:val="24"/>
                <w:szCs w:val="28"/>
                <w:highlight w:val="none"/>
              </w:rPr>
              <w:t>当年使用上年结余、</w:t>
            </w:r>
          </w:p>
          <w:p w14:paraId="07AEB682">
            <w:pPr>
              <w:jc w:val="center"/>
              <w:rPr>
                <w:rFonts w:cs="Arial"/>
                <w:color w:val="000000"/>
                <w:sz w:val="22"/>
              </w:rPr>
            </w:pPr>
            <w:r>
              <w:rPr>
                <w:rFonts w:hint="eastAsia" w:eastAsia="宋体"/>
                <w:snapToGrid w:val="0"/>
                <w:color w:val="000000"/>
                <w:spacing w:val="-10"/>
                <w:kern w:val="0"/>
                <w:sz w:val="24"/>
                <w:szCs w:val="28"/>
                <w:highlight w:val="none"/>
              </w:rPr>
              <w:t>结转及当年预算</w:t>
            </w:r>
            <w:r>
              <w:rPr>
                <w:rFonts w:hint="eastAsia" w:eastAsia="宋体"/>
                <w:snapToGrid w:val="0"/>
                <w:color w:val="000000"/>
                <w:spacing w:val="-10"/>
                <w:kern w:val="0"/>
                <w:sz w:val="24"/>
                <w:szCs w:val="28"/>
                <w:highlight w:val="none"/>
                <w:lang w:val="en-US" w:eastAsia="zh-CN"/>
              </w:rPr>
              <w:t>追加追减数</w:t>
            </w:r>
          </w:p>
        </w:tc>
        <w:tc>
          <w:tcPr>
            <w:tcW w:w="1337" w:type="dxa"/>
            <w:gridSpan w:val="3"/>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1EE3546C">
            <w:pPr>
              <w:jc w:val="center"/>
              <w:rPr>
                <w:rFonts w:cs="Arial"/>
                <w:color w:val="000000"/>
                <w:sz w:val="22"/>
              </w:rPr>
            </w:pPr>
            <w:r>
              <w:rPr>
                <w:rFonts w:hint="eastAsia" w:cs="Arial"/>
                <w:color w:val="000000"/>
                <w:sz w:val="22"/>
              </w:rPr>
              <w:t>财政拨款数</w:t>
            </w:r>
          </w:p>
        </w:tc>
        <w:tc>
          <w:tcPr>
            <w:tcW w:w="1337" w:type="dxa"/>
            <w:gridSpan w:val="2"/>
            <w:tcBorders>
              <w:top w:val="single" w:color="000000" w:sz="4" w:space="0"/>
              <w:left w:val="nil"/>
              <w:bottom w:val="single" w:color="000000" w:sz="4" w:space="0"/>
              <w:right w:val="single" w:color="000000" w:sz="4" w:space="0"/>
            </w:tcBorders>
            <w:shd w:val="clear" w:color="auto" w:fill="auto"/>
            <w:vAlign w:val="center"/>
          </w:tcPr>
          <w:p w14:paraId="57E44398">
            <w:pPr>
              <w:jc w:val="center"/>
              <w:rPr>
                <w:rFonts w:cs="Arial"/>
                <w:color w:val="000000"/>
                <w:sz w:val="22"/>
              </w:rPr>
            </w:pPr>
            <w:r>
              <w:rPr>
                <w:rFonts w:hint="eastAsia" w:cs="Arial"/>
                <w:color w:val="000000"/>
                <w:sz w:val="22"/>
              </w:rPr>
              <w:t>指标结余数</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53A8D32C">
            <w:pPr>
              <w:jc w:val="center"/>
              <w:rPr>
                <w:rFonts w:cs="Arial"/>
                <w:color w:val="000000"/>
                <w:sz w:val="22"/>
              </w:rPr>
            </w:pPr>
            <w:r>
              <w:rPr>
                <w:rFonts w:hint="eastAsia" w:cs="Arial"/>
                <w:color w:val="000000"/>
                <w:sz w:val="22"/>
              </w:rPr>
              <w:t>指标结余收回数</w:t>
            </w:r>
          </w:p>
        </w:tc>
      </w:tr>
      <w:tr w14:paraId="028CC8EF">
        <w:tblPrEx>
          <w:tblCellMar>
            <w:top w:w="0" w:type="dxa"/>
            <w:left w:w="0" w:type="dxa"/>
            <w:bottom w:w="0" w:type="dxa"/>
            <w:right w:w="0" w:type="dxa"/>
          </w:tblCellMar>
        </w:tblPrEx>
        <w:trPr>
          <w:trHeight w:val="441" w:hRule="atLeast"/>
        </w:trPr>
        <w:tc>
          <w:tcPr>
            <w:tcW w:w="852" w:type="dxa"/>
            <w:vMerge w:val="continue"/>
            <w:tcBorders>
              <w:top w:val="nil"/>
              <w:left w:val="single" w:color="000000" w:sz="4" w:space="0"/>
              <w:bottom w:val="single" w:color="000000" w:sz="4" w:space="0"/>
              <w:right w:val="single" w:color="000000" w:sz="4" w:space="0"/>
            </w:tcBorders>
            <w:vAlign w:val="center"/>
          </w:tcPr>
          <w:p w14:paraId="33A3C8A5">
            <w:pPr>
              <w:rPr>
                <w:rFonts w:cs="Arial"/>
                <w:color w:val="000000"/>
                <w:sz w:val="22"/>
              </w:rPr>
            </w:pPr>
          </w:p>
        </w:tc>
        <w:tc>
          <w:tcPr>
            <w:tcW w:w="970"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31377BF3">
            <w:pPr>
              <w:jc w:val="center"/>
              <w:rPr>
                <w:rFonts w:cs="Arial"/>
                <w:color w:val="000000"/>
                <w:sz w:val="22"/>
              </w:rPr>
            </w:pPr>
            <w:r>
              <w:rPr>
                <w:rFonts w:hint="eastAsia" w:ascii="宋体" w:hAnsi="宋体"/>
                <w:sz w:val="22"/>
              </w:rPr>
              <w:t>425</w:t>
            </w:r>
          </w:p>
        </w:tc>
        <w:tc>
          <w:tcPr>
            <w:tcW w:w="2300" w:type="dxa"/>
            <w:gridSpan w:val="5"/>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0470EEC2">
            <w:pPr>
              <w:jc w:val="center"/>
              <w:rPr>
                <w:rFonts w:cs="Arial"/>
                <w:color w:val="000000"/>
                <w:sz w:val="22"/>
              </w:rPr>
            </w:pPr>
            <w:r>
              <w:rPr>
                <w:rFonts w:hint="eastAsia" w:ascii="宋体" w:hAnsi="宋体"/>
                <w:sz w:val="22"/>
              </w:rPr>
              <w:t/>
            </w:r>
          </w:p>
        </w:tc>
        <w:tc>
          <w:tcPr>
            <w:tcW w:w="1337" w:type="dxa"/>
            <w:gridSpan w:val="3"/>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681690A2">
            <w:pPr>
              <w:jc w:val="center"/>
              <w:rPr>
                <w:rFonts w:cs="Arial"/>
                <w:color w:val="000000"/>
                <w:sz w:val="22"/>
              </w:rPr>
            </w:pPr>
            <w:r>
              <w:rPr>
                <w:rFonts w:hint="eastAsia" w:ascii="宋体" w:hAnsi="宋体"/>
                <w:sz w:val="22"/>
              </w:rPr>
              <w:t>425</w:t>
            </w:r>
          </w:p>
        </w:tc>
        <w:tc>
          <w:tcPr>
            <w:tcW w:w="1337" w:type="dxa"/>
            <w:gridSpan w:val="2"/>
            <w:tcBorders>
              <w:top w:val="single" w:color="000000" w:sz="4" w:space="0"/>
              <w:left w:val="nil"/>
              <w:bottom w:val="single" w:color="000000" w:sz="4" w:space="0"/>
              <w:right w:val="single" w:color="000000" w:sz="4" w:space="0"/>
            </w:tcBorders>
            <w:shd w:val="clear" w:color="auto" w:fill="auto"/>
            <w:vAlign w:val="center"/>
          </w:tcPr>
          <w:p w14:paraId="71D912DA">
            <w:pPr>
              <w:jc w:val="center"/>
              <w:rPr>
                <w:rFonts w:cs="Arial"/>
                <w:color w:val="000000"/>
                <w:sz w:val="22"/>
              </w:rPr>
            </w:pPr>
            <w:r>
              <w:rPr>
                <w:rFonts w:hint="eastAsia" w:ascii="宋体" w:hAnsi="宋体"/>
                <w:sz w:val="22"/>
              </w:rPr>
              <w:t>0</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0A43011E">
            <w:pPr>
              <w:jc w:val="center"/>
              <w:rPr>
                <w:rFonts w:cs="Arial"/>
                <w:color w:val="000000"/>
                <w:sz w:val="22"/>
              </w:rPr>
            </w:pPr>
            <w:r>
              <w:rPr>
                <w:rFonts w:hint="eastAsia" w:ascii="宋体" w:hAnsi="宋体"/>
                <w:sz w:val="22"/>
              </w:rPr>
              <w:t/>
            </w:r>
          </w:p>
        </w:tc>
      </w:tr>
      <w:tr w14:paraId="18B2AA6C">
        <w:tblPrEx>
          <w:tblCellMar>
            <w:top w:w="0" w:type="dxa"/>
            <w:left w:w="0" w:type="dxa"/>
            <w:bottom w:w="0" w:type="dxa"/>
            <w:right w:w="0" w:type="dxa"/>
          </w:tblCellMar>
        </w:tblPrEx>
        <w:trPr>
          <w:trHeight w:val="346" w:hRule="atLeast"/>
        </w:trPr>
        <w:tc>
          <w:tcPr>
            <w:tcW w:w="852"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1FB4513">
            <w:pPr>
              <w:jc w:val="center"/>
              <w:rPr>
                <w:rFonts w:cs="Arial"/>
                <w:color w:val="000000"/>
                <w:sz w:val="22"/>
              </w:rPr>
            </w:pPr>
            <w:r>
              <w:rPr>
                <w:rFonts w:hint="eastAsia" w:cs="Arial"/>
                <w:color w:val="000000"/>
                <w:sz w:val="22"/>
              </w:rPr>
              <w:t>市级财政资金使用情况（万元）</w:t>
            </w:r>
          </w:p>
        </w:tc>
        <w:tc>
          <w:tcPr>
            <w:tcW w:w="970" w:type="dxa"/>
            <w:gridSpan w:val="2"/>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D99042D">
            <w:pPr>
              <w:jc w:val="center"/>
              <w:rPr>
                <w:rFonts w:cs="Arial"/>
                <w:color w:val="000000"/>
                <w:sz w:val="22"/>
              </w:rPr>
            </w:pPr>
            <w:r>
              <w:rPr>
                <w:rFonts w:hint="eastAsia" w:cs="Arial"/>
                <w:color w:val="000000"/>
                <w:sz w:val="22"/>
              </w:rPr>
              <w:t>财政拨款数</w:t>
            </w:r>
          </w:p>
        </w:tc>
        <w:tc>
          <w:tcPr>
            <w:tcW w:w="1520" w:type="dxa"/>
            <w:gridSpan w:val="3"/>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9B6BBCF">
            <w:pPr>
              <w:jc w:val="center"/>
              <w:rPr>
                <w:rFonts w:cs="Arial"/>
                <w:color w:val="000000"/>
                <w:sz w:val="22"/>
              </w:rPr>
            </w:pPr>
            <w:r>
              <w:rPr>
                <w:rFonts w:hint="eastAsia" w:cs="Arial"/>
                <w:color w:val="000000"/>
                <w:sz w:val="22"/>
              </w:rPr>
              <w:t>实际支付数</w:t>
            </w:r>
          </w:p>
        </w:tc>
        <w:tc>
          <w:tcPr>
            <w:tcW w:w="194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4574F12">
            <w:pPr>
              <w:jc w:val="center"/>
              <w:rPr>
                <w:rFonts w:cs="Arial"/>
                <w:color w:val="000000"/>
                <w:sz w:val="22"/>
              </w:rPr>
            </w:pPr>
            <w:r>
              <w:rPr>
                <w:rFonts w:hint="eastAsia" w:cs="Arial"/>
                <w:color w:val="000000"/>
                <w:sz w:val="22"/>
              </w:rPr>
              <w:t>资金结余、结转数</w:t>
            </w:r>
          </w:p>
        </w:tc>
        <w:tc>
          <w:tcPr>
            <w:tcW w:w="3219" w:type="dxa"/>
            <w:gridSpan w:val="5"/>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744FDC86">
            <w:pPr>
              <w:jc w:val="center"/>
              <w:rPr>
                <w:rFonts w:cs="Arial"/>
                <w:color w:val="000000"/>
                <w:sz w:val="22"/>
              </w:rPr>
            </w:pPr>
            <w:r>
              <w:rPr>
                <w:rFonts w:hint="eastAsia" w:cs="Arial"/>
                <w:color w:val="000000"/>
                <w:sz w:val="22"/>
              </w:rPr>
              <w:t>其中：</w:t>
            </w:r>
          </w:p>
        </w:tc>
      </w:tr>
      <w:tr w14:paraId="44D6F506">
        <w:tblPrEx>
          <w:tblCellMar>
            <w:top w:w="0" w:type="dxa"/>
            <w:left w:w="0" w:type="dxa"/>
            <w:bottom w:w="0" w:type="dxa"/>
            <w:right w:w="0" w:type="dxa"/>
          </w:tblCellMar>
        </w:tblPrEx>
        <w:trPr>
          <w:trHeight w:val="378" w:hRule="atLeast"/>
        </w:trPr>
        <w:tc>
          <w:tcPr>
            <w:tcW w:w="852" w:type="dxa"/>
            <w:vMerge w:val="continue"/>
            <w:tcBorders>
              <w:top w:val="nil"/>
              <w:left w:val="single" w:color="000000" w:sz="4" w:space="0"/>
              <w:bottom w:val="single" w:color="000000" w:sz="4" w:space="0"/>
              <w:right w:val="single" w:color="000000" w:sz="4" w:space="0"/>
            </w:tcBorders>
            <w:vAlign w:val="center"/>
          </w:tcPr>
          <w:p w14:paraId="5DDFAEF8">
            <w:pPr>
              <w:rPr>
                <w:rFonts w:cs="Arial"/>
                <w:color w:val="000000"/>
                <w:sz w:val="22"/>
              </w:rPr>
            </w:pPr>
          </w:p>
        </w:tc>
        <w:tc>
          <w:tcPr>
            <w:tcW w:w="970" w:type="dxa"/>
            <w:gridSpan w:val="2"/>
            <w:vMerge w:val="continue"/>
            <w:tcBorders>
              <w:top w:val="nil"/>
              <w:left w:val="single" w:color="000000" w:sz="4" w:space="0"/>
              <w:bottom w:val="single" w:color="000000" w:sz="4" w:space="0"/>
              <w:right w:val="single" w:color="000000" w:sz="4" w:space="0"/>
            </w:tcBorders>
            <w:vAlign w:val="center"/>
          </w:tcPr>
          <w:p w14:paraId="04F093DE">
            <w:pPr>
              <w:rPr>
                <w:rFonts w:cs="Arial"/>
                <w:color w:val="000000"/>
                <w:sz w:val="22"/>
              </w:rPr>
            </w:pPr>
          </w:p>
        </w:tc>
        <w:tc>
          <w:tcPr>
            <w:tcW w:w="1520" w:type="dxa"/>
            <w:gridSpan w:val="3"/>
            <w:vMerge w:val="continue"/>
            <w:tcBorders>
              <w:top w:val="nil"/>
              <w:left w:val="single" w:color="000000" w:sz="4" w:space="0"/>
              <w:bottom w:val="single" w:color="000000" w:sz="4" w:space="0"/>
              <w:right w:val="single" w:color="000000" w:sz="4" w:space="0"/>
            </w:tcBorders>
            <w:vAlign w:val="center"/>
          </w:tcPr>
          <w:p w14:paraId="68DB6072">
            <w:pPr>
              <w:rPr>
                <w:rFonts w:cs="Arial"/>
                <w:color w:val="000000"/>
                <w:sz w:val="22"/>
              </w:rPr>
            </w:pPr>
          </w:p>
        </w:tc>
        <w:tc>
          <w:tcPr>
            <w:tcW w:w="1940"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7ECFF13F">
            <w:pPr>
              <w:rPr>
                <w:rFonts w:cs="Arial"/>
                <w:color w:val="000000"/>
                <w:sz w:val="22"/>
              </w:rPr>
            </w:pPr>
          </w:p>
        </w:tc>
        <w:tc>
          <w:tcPr>
            <w:tcW w:w="1514"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4FA7DAE6">
            <w:pPr>
              <w:jc w:val="center"/>
              <w:rPr>
                <w:rFonts w:cs="Arial"/>
                <w:color w:val="000000"/>
                <w:sz w:val="22"/>
              </w:rPr>
            </w:pPr>
            <w:r>
              <w:rPr>
                <w:rFonts w:hint="eastAsia" w:cs="Arial"/>
                <w:color w:val="000000"/>
                <w:sz w:val="22"/>
              </w:rPr>
              <w:t>结转数</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25CDC9B3">
            <w:pPr>
              <w:jc w:val="center"/>
              <w:rPr>
                <w:rFonts w:cs="Arial"/>
                <w:color w:val="000000"/>
                <w:sz w:val="22"/>
              </w:rPr>
            </w:pPr>
            <w:r>
              <w:rPr>
                <w:rFonts w:hint="eastAsia" w:cs="Arial"/>
                <w:color w:val="000000"/>
                <w:sz w:val="22"/>
              </w:rPr>
              <w:t>财政收回数</w:t>
            </w:r>
          </w:p>
        </w:tc>
      </w:tr>
      <w:tr w14:paraId="78B54121">
        <w:tblPrEx>
          <w:tblCellMar>
            <w:top w:w="0" w:type="dxa"/>
            <w:left w:w="0" w:type="dxa"/>
            <w:bottom w:w="0" w:type="dxa"/>
            <w:right w:w="0" w:type="dxa"/>
          </w:tblCellMar>
        </w:tblPrEx>
        <w:trPr>
          <w:trHeight w:val="630" w:hRule="atLeast"/>
        </w:trPr>
        <w:tc>
          <w:tcPr>
            <w:tcW w:w="852" w:type="dxa"/>
            <w:vMerge w:val="continue"/>
            <w:tcBorders>
              <w:top w:val="nil"/>
              <w:left w:val="single" w:color="000000" w:sz="4" w:space="0"/>
              <w:bottom w:val="single" w:color="000000" w:sz="4" w:space="0"/>
              <w:right w:val="single" w:color="000000" w:sz="4" w:space="0"/>
            </w:tcBorders>
            <w:vAlign w:val="center"/>
          </w:tcPr>
          <w:p w14:paraId="7603EB57">
            <w:pPr>
              <w:rPr>
                <w:rFonts w:cs="Arial"/>
                <w:color w:val="000000"/>
                <w:sz w:val="22"/>
              </w:rPr>
            </w:pPr>
          </w:p>
        </w:tc>
        <w:tc>
          <w:tcPr>
            <w:tcW w:w="970"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2FE2AC2B">
            <w:pPr>
              <w:jc w:val="center"/>
              <w:rPr>
                <w:rFonts w:cs="Arial"/>
                <w:color w:val="000000"/>
                <w:sz w:val="22"/>
              </w:rPr>
            </w:pPr>
            <w:r>
              <w:rPr>
                <w:rFonts w:hint="eastAsia" w:ascii="宋体" w:hAnsi="宋体"/>
                <w:sz w:val="22"/>
              </w:rPr>
              <w:t>425</w:t>
            </w:r>
          </w:p>
        </w:tc>
        <w:tc>
          <w:tcPr>
            <w:tcW w:w="1520"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34C038E7">
            <w:pPr>
              <w:jc w:val="center"/>
              <w:rPr>
                <w:rFonts w:cs="Arial"/>
                <w:color w:val="000000"/>
                <w:sz w:val="22"/>
              </w:rPr>
            </w:pPr>
            <w:r>
              <w:rPr>
                <w:rFonts w:hint="eastAsia" w:ascii="宋体" w:hAnsi="宋体"/>
                <w:sz w:val="22"/>
              </w:rPr>
              <w:t>422.03</w:t>
            </w:r>
          </w:p>
        </w:tc>
        <w:tc>
          <w:tcPr>
            <w:tcW w:w="1940" w:type="dxa"/>
            <w:gridSpan w:val="4"/>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1DB03328">
            <w:pPr>
              <w:jc w:val="center"/>
              <w:rPr>
                <w:rFonts w:cs="Arial"/>
                <w:color w:val="000000"/>
                <w:sz w:val="22"/>
              </w:rPr>
            </w:pPr>
            <w:r>
              <w:rPr>
                <w:rFonts w:hint="eastAsia" w:ascii="宋体" w:hAnsi="宋体"/>
                <w:sz w:val="22"/>
              </w:rPr>
              <w:t>2.97</w:t>
            </w:r>
          </w:p>
        </w:tc>
        <w:tc>
          <w:tcPr>
            <w:tcW w:w="1514"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06B03A63">
            <w:pPr>
              <w:jc w:val="center"/>
              <w:rPr>
                <w:rFonts w:cs="Arial"/>
                <w:color w:val="000000"/>
                <w:sz w:val="22"/>
              </w:rPr>
            </w:pPr>
            <w:r>
              <w:rPr>
                <w:rFonts w:hint="eastAsia" w:ascii="宋体" w:hAnsi="宋体"/>
                <w:sz w:val="22"/>
              </w:rPr>
              <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56E3160C">
            <w:pPr>
              <w:jc w:val="center"/>
              <w:rPr>
                <w:rFonts w:cs="Arial"/>
                <w:color w:val="000000"/>
                <w:sz w:val="22"/>
              </w:rPr>
            </w:pPr>
            <w:r>
              <w:rPr>
                <w:rFonts w:hint="eastAsia" w:ascii="宋体" w:hAnsi="宋体"/>
                <w:sz w:val="22"/>
              </w:rPr>
              <w:t>2.97</w:t>
            </w:r>
          </w:p>
        </w:tc>
      </w:tr>
      <w:tr w14:paraId="7E0FC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8501" w:type="dxa"/>
            <w:gridSpan w:val="15"/>
            <w:tcBorders>
              <w:top w:val="single" w:color="auto" w:sz="4" w:space="0"/>
              <w:left w:val="single" w:color="auto" w:sz="4" w:space="0"/>
              <w:bottom w:val="single" w:color="auto" w:sz="4" w:space="0"/>
              <w:right w:val="single" w:color="auto" w:sz="4" w:space="0"/>
            </w:tcBorders>
            <w:shd w:val="clear" w:color="auto" w:fill="BFBFBF"/>
            <w:vAlign w:val="center"/>
          </w:tcPr>
          <w:p w14:paraId="69099E6B">
            <w:pPr>
              <w:widowControl/>
              <w:jc w:val="center"/>
              <w:rPr>
                <w:rFonts w:ascii="宋体" w:hAnsi="宋体" w:cs="Arial"/>
                <w:color w:val="000000"/>
                <w:kern w:val="0"/>
                <w:sz w:val="20"/>
                <w:szCs w:val="20"/>
              </w:rPr>
            </w:pPr>
            <w:r>
              <w:rPr>
                <w:rFonts w:hint="eastAsia" w:ascii="宋体" w:hAnsi="宋体" w:cs="Arial"/>
                <w:color w:val="000000"/>
                <w:kern w:val="0"/>
                <w:sz w:val="20"/>
                <w:szCs w:val="20"/>
              </w:rPr>
              <w:t>项目资金构成（详细列出各子项目名称和金额）</w:t>
            </w:r>
          </w:p>
        </w:tc>
      </w:tr>
      <w:tr w14:paraId="6443A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511" w:type="dxa"/>
            <w:gridSpan w:val="5"/>
            <w:tcBorders>
              <w:top w:val="single" w:color="auto" w:sz="4" w:space="0"/>
              <w:left w:val="single" w:color="auto" w:sz="4" w:space="0"/>
              <w:bottom w:val="single" w:color="auto" w:sz="4" w:space="0"/>
              <w:right w:val="single" w:color="auto" w:sz="4" w:space="0"/>
            </w:tcBorders>
            <w:shd w:val="clear" w:color="auto" w:fill="BFBFBF"/>
            <w:vAlign w:val="center"/>
          </w:tcPr>
          <w:p w14:paraId="3AEF2EA3">
            <w:pPr>
              <w:widowControl/>
              <w:jc w:val="center"/>
              <w:rPr>
                <w:rFonts w:ascii="宋体" w:hAnsi="宋体" w:cs="Arial"/>
                <w:color w:val="000000"/>
                <w:kern w:val="0"/>
                <w:sz w:val="20"/>
                <w:szCs w:val="20"/>
              </w:rPr>
            </w:pPr>
            <w:r>
              <w:rPr>
                <w:rFonts w:hint="eastAsia" w:ascii="宋体" w:hAnsi="宋体" w:cs="Arial"/>
                <w:color w:val="000000"/>
                <w:kern w:val="0"/>
                <w:sz w:val="20"/>
                <w:szCs w:val="20"/>
              </w:rPr>
              <w:t/>
            </w:r>
            <w:r>
              <w:rPr>
                <w:rFonts w:ascii="宋体" w:hAnsi="宋体" w:cs="宋体" w:eastAsia="宋体"/>
                <w:color w:val="000000"/>
                <w:sz w:val="20"/>
                <w:u w:val="none"/>
              </w:rPr>
              <w:t>子项名称</w:t>
            </w:r>
          </w:p>
        </w:tc>
        <w:tc>
          <w:tcPr>
            <w:tcW w:w="2771" w:type="dxa"/>
            <w:gridSpan w:val="5"/>
            <w:tcBorders>
              <w:top w:val="single" w:color="auto" w:sz="4" w:space="0"/>
              <w:left w:val="single" w:color="auto" w:sz="4" w:space="0"/>
              <w:bottom w:val="single" w:color="auto" w:sz="4" w:space="0"/>
              <w:right w:val="single" w:color="auto" w:sz="4" w:space="0"/>
            </w:tcBorders>
            <w:shd w:val="clear" w:color="auto" w:fill="BFBFBF"/>
            <w:vAlign w:val="center"/>
          </w:tcPr>
          <w:p w14:paraId="4FE7B84D">
            <w:pPr>
              <w:widowControl/>
              <w:jc w:val="center"/>
              <w:rPr>
                <w:rFonts w:ascii="宋体" w:hAnsi="宋体" w:cs="Arial"/>
                <w:color w:val="000000"/>
                <w:kern w:val="0"/>
                <w:sz w:val="20"/>
                <w:szCs w:val="20"/>
              </w:rPr>
            </w:pPr>
            <w:r>
              <w:rPr>
                <w:rFonts w:hint="eastAsia" w:ascii="宋体" w:hAnsi="宋体" w:cs="Arial"/>
                <w:color w:val="000000"/>
                <w:kern w:val="0"/>
                <w:sz w:val="20"/>
                <w:szCs w:val="20"/>
                <w:lang w:val="en-US" w:eastAsia="zh-CN"/>
              </w:rPr>
              <w:t>调整</w:t>
            </w:r>
            <w:r>
              <w:rPr>
                <w:rFonts w:hint="eastAsia" w:ascii="宋体" w:hAnsi="宋体" w:cs="Arial"/>
                <w:color w:val="000000"/>
                <w:kern w:val="0"/>
                <w:sz w:val="20"/>
                <w:szCs w:val="20"/>
              </w:rPr>
              <w:t>预算数（万元）</w:t>
            </w:r>
          </w:p>
        </w:tc>
        <w:tc>
          <w:tcPr>
            <w:tcW w:w="3219" w:type="dxa"/>
            <w:gridSpan w:val="5"/>
            <w:tcBorders>
              <w:top w:val="single" w:color="auto" w:sz="4" w:space="0"/>
              <w:left w:val="single" w:color="auto" w:sz="4" w:space="0"/>
              <w:bottom w:val="single" w:color="auto" w:sz="4" w:space="0"/>
              <w:right w:val="single" w:color="auto" w:sz="4" w:space="0"/>
            </w:tcBorders>
            <w:shd w:val="clear" w:color="auto" w:fill="BFBFBF"/>
            <w:vAlign w:val="center"/>
          </w:tcPr>
          <w:p w14:paraId="6DE15E66">
            <w:pPr>
              <w:widowControl/>
              <w:jc w:val="center"/>
              <w:rPr>
                <w:rFonts w:ascii="宋体" w:hAnsi="宋体" w:cs="Arial"/>
                <w:color w:val="000000"/>
                <w:kern w:val="0"/>
                <w:sz w:val="20"/>
                <w:szCs w:val="20"/>
              </w:rPr>
            </w:pPr>
            <w:r>
              <w:rPr>
                <w:rFonts w:hint="eastAsia" w:ascii="宋体" w:hAnsi="宋体" w:cs="Arial"/>
                <w:color w:val="000000"/>
                <w:kern w:val="0"/>
                <w:sz w:val="20"/>
                <w:szCs w:val="20"/>
              </w:rPr>
              <w:t>实际</w:t>
            </w:r>
            <w:r>
              <w:rPr>
                <w:rFonts w:hint="eastAsia" w:ascii="宋体" w:hAnsi="宋体" w:cs="Arial"/>
                <w:color w:val="000000"/>
                <w:kern w:val="0"/>
                <w:sz w:val="20"/>
                <w:szCs w:val="20"/>
                <w:lang w:val="en-US" w:eastAsia="zh-CN"/>
              </w:rPr>
              <w:t>支出</w:t>
            </w:r>
            <w:r>
              <w:rPr>
                <w:rFonts w:hint="eastAsia" w:ascii="宋体" w:hAnsi="宋体" w:cs="Arial"/>
                <w:color w:val="000000"/>
                <w:kern w:val="0"/>
                <w:sz w:val="20"/>
                <w:szCs w:val="20"/>
              </w:rPr>
              <w:t>数（万元）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c>
          <w:tcPr>
            <w:tcW w:w="2511"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合计</w:t>
            </w:r>
          </w:p>
        </w:tc>
        <w:tc>
          <w:tcPr>
            <w:tcW w:w="2771"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425</w:t>
            </w:r>
          </w:p>
        </w:tc>
        <w:tc>
          <w:tcPr>
            <w:tcW w:w="3219"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422.03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c>
          <w:tcPr>
            <w:tcW w:w="2511"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劳务费</w:t>
            </w:r>
          </w:p>
        </w:tc>
        <w:tc>
          <w:tcPr>
            <w:tcW w:w="2771"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58</w:t>
            </w:r>
          </w:p>
        </w:tc>
        <w:tc>
          <w:tcPr>
            <w:tcW w:w="3219"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55.11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c>
          <w:tcPr>
            <w:tcW w:w="2511"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租赁费</w:t>
            </w:r>
          </w:p>
        </w:tc>
        <w:tc>
          <w:tcPr>
            <w:tcW w:w="2771"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240.54</w:t>
            </w:r>
          </w:p>
        </w:tc>
        <w:tc>
          <w:tcPr>
            <w:tcW w:w="3219"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240.54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c>
          <w:tcPr>
            <w:tcW w:w="2511"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办公费</w:t>
            </w:r>
          </w:p>
        </w:tc>
        <w:tc>
          <w:tcPr>
            <w:tcW w:w="2771"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78.35</w:t>
            </w:r>
          </w:p>
        </w:tc>
        <w:tc>
          <w:tcPr>
            <w:tcW w:w="3219"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78.27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c>
          <w:tcPr>
            <w:tcW w:w="2511"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物业费</w:t>
            </w:r>
          </w:p>
        </w:tc>
        <w:tc>
          <w:tcPr>
            <w:tcW w:w="2771"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48.11</w:t>
            </w:r>
          </w:p>
        </w:tc>
        <w:tc>
          <w:tcPr>
            <w:tcW w:w="3219"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48.11</w:t>
            </w:r>
          </w:p>
        </w:tc>
      </w:tr>
      <w:tr w14:paraId="55154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218"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14:paraId="4B1665AC">
            <w:pPr>
              <w:widowControl/>
              <w:jc w:val="center"/>
              <w:rPr>
                <w:rFonts w:ascii="宋体" w:hAnsi="宋体" w:cs="Arial"/>
                <w:color w:val="000000"/>
                <w:kern w:val="0"/>
                <w:sz w:val="20"/>
                <w:szCs w:val="20"/>
              </w:rPr>
            </w:pPr>
            <w:r>
              <w:rPr>
                <w:rFonts w:hint="eastAsia" w:ascii="宋体" w:hAnsi="宋体" w:cs="Arial"/>
                <w:color w:val="000000"/>
                <w:kern w:val="0"/>
                <w:sz w:val="20"/>
                <w:szCs w:val="20"/>
              </w:rPr>
              <w:t/>
            </w:r>
            <w:r>
              <w:rPr>
                <w:rFonts w:ascii="宋体" w:hAnsi="宋体" w:cs="宋体" w:eastAsia="宋体"/>
                <w:color w:val="000000"/>
                <w:sz w:val="20"/>
                <w:u w:val="none"/>
              </w:rPr>
              <w:t>项目</w:t>
            </w:r>
          </w:p>
        </w:tc>
        <w:tc>
          <w:tcPr>
            <w:tcW w:w="1216"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14:paraId="2D704D81">
            <w:pPr>
              <w:widowControl/>
              <w:jc w:val="center"/>
              <w:rPr>
                <w:rFonts w:ascii="宋体" w:hAnsi="宋体" w:cs="Arial"/>
                <w:color w:val="000000"/>
                <w:kern w:val="0"/>
                <w:sz w:val="20"/>
                <w:szCs w:val="20"/>
              </w:rPr>
            </w:pPr>
            <w:r>
              <w:rPr>
                <w:rFonts w:hint="eastAsia" w:ascii="宋体" w:hAnsi="宋体" w:cs="Arial"/>
                <w:color w:val="000000"/>
                <w:kern w:val="0"/>
                <w:sz w:val="20"/>
                <w:szCs w:val="20"/>
              </w:rPr>
              <w:t>类别</w:t>
            </w:r>
          </w:p>
        </w:tc>
        <w:tc>
          <w:tcPr>
            <w:tcW w:w="1213" w:type="dxa"/>
            <w:gridSpan w:val="3"/>
            <w:tcBorders>
              <w:top w:val="single" w:color="auto" w:sz="4" w:space="0"/>
              <w:left w:val="single" w:color="auto" w:sz="4" w:space="0"/>
              <w:bottom w:val="single" w:color="auto" w:sz="4" w:space="0"/>
              <w:right w:val="single" w:color="auto" w:sz="4" w:space="0"/>
            </w:tcBorders>
            <w:shd w:val="clear" w:color="auto" w:fill="BFBFBF"/>
            <w:vAlign w:val="center"/>
          </w:tcPr>
          <w:p w14:paraId="11488344">
            <w:pPr>
              <w:widowControl/>
              <w:jc w:val="center"/>
              <w:rPr>
                <w:rFonts w:ascii="宋体" w:hAnsi="宋体" w:cs="Arial"/>
                <w:color w:val="000000"/>
                <w:kern w:val="0"/>
                <w:sz w:val="20"/>
                <w:szCs w:val="20"/>
              </w:rPr>
            </w:pPr>
            <w:r>
              <w:rPr>
                <w:rFonts w:hint="eastAsia" w:ascii="宋体" w:hAnsi="宋体" w:cs="Arial"/>
                <w:color w:val="000000"/>
                <w:kern w:val="0"/>
                <w:sz w:val="20"/>
                <w:szCs w:val="20"/>
              </w:rPr>
              <w:t>指标名称</w:t>
            </w:r>
          </w:p>
        </w:tc>
        <w:tc>
          <w:tcPr>
            <w:tcW w:w="1213"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14:paraId="3ABBBE12">
            <w:pPr>
              <w:widowControl/>
              <w:jc w:val="center"/>
              <w:rPr>
                <w:rFonts w:ascii="宋体" w:hAnsi="宋体" w:cs="Arial"/>
                <w:color w:val="000000"/>
                <w:kern w:val="0"/>
                <w:sz w:val="20"/>
                <w:szCs w:val="20"/>
              </w:rPr>
            </w:pPr>
            <w:r>
              <w:rPr>
                <w:rFonts w:hint="eastAsia" w:ascii="宋体" w:hAnsi="宋体" w:cs="Arial"/>
                <w:color w:val="000000"/>
                <w:kern w:val="0"/>
                <w:sz w:val="20"/>
                <w:szCs w:val="20"/>
              </w:rPr>
              <w:t>目标值</w:t>
            </w:r>
          </w:p>
        </w:tc>
        <w:tc>
          <w:tcPr>
            <w:tcW w:w="1213" w:type="dxa"/>
            <w:gridSpan w:val="3"/>
            <w:tcBorders>
              <w:top w:val="single" w:color="auto" w:sz="4" w:space="0"/>
              <w:left w:val="single" w:color="auto" w:sz="4" w:space="0"/>
              <w:bottom w:val="single" w:color="auto" w:sz="4" w:space="0"/>
              <w:right w:val="single" w:color="auto" w:sz="4" w:space="0"/>
            </w:tcBorders>
            <w:shd w:val="clear" w:color="auto" w:fill="BFBFBF"/>
            <w:vAlign w:val="center"/>
          </w:tcPr>
          <w:p w14:paraId="4F6D8A67">
            <w:pPr>
              <w:widowControl/>
              <w:jc w:val="center"/>
              <w:rPr>
                <w:rFonts w:ascii="宋体" w:hAnsi="宋体" w:cs="Arial"/>
                <w:color w:val="000000"/>
                <w:kern w:val="0"/>
                <w:sz w:val="20"/>
                <w:szCs w:val="20"/>
              </w:rPr>
            </w:pPr>
            <w:r>
              <w:rPr>
                <w:rFonts w:hint="eastAsia" w:ascii="宋体" w:hAnsi="宋体" w:cs="Arial"/>
                <w:color w:val="000000"/>
                <w:kern w:val="0"/>
                <w:sz w:val="20"/>
                <w:szCs w:val="20"/>
              </w:rPr>
              <w:t>权重</w:t>
            </w:r>
          </w:p>
        </w:tc>
        <w:tc>
          <w:tcPr>
            <w:tcW w:w="1213"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14:paraId="268801F0">
            <w:pPr>
              <w:widowControl/>
              <w:jc w:val="center"/>
              <w:rPr>
                <w:rFonts w:ascii="宋体" w:hAnsi="宋体" w:cs="Arial"/>
                <w:color w:val="000000"/>
                <w:kern w:val="0"/>
                <w:sz w:val="20"/>
                <w:szCs w:val="20"/>
              </w:rPr>
            </w:pPr>
            <w:r>
              <w:rPr>
                <w:rFonts w:hint="eastAsia" w:ascii="宋体" w:hAnsi="宋体" w:cs="Arial"/>
                <w:color w:val="000000"/>
                <w:kern w:val="0"/>
                <w:sz w:val="20"/>
                <w:szCs w:val="20"/>
              </w:rPr>
              <w:t>实际完成值</w:t>
            </w:r>
          </w:p>
        </w:tc>
        <w:tc>
          <w:tcPr>
            <w:tcW w:w="1215" w:type="dxa"/>
            <w:tcBorders>
              <w:top w:val="single" w:color="auto" w:sz="4" w:space="0"/>
              <w:left w:val="single" w:color="auto" w:sz="4" w:space="0"/>
              <w:bottom w:val="single" w:color="auto" w:sz="4" w:space="0"/>
              <w:right w:val="single" w:color="auto" w:sz="4" w:space="0"/>
            </w:tcBorders>
            <w:shd w:val="clear" w:color="auto" w:fill="BFBFBF"/>
            <w:vAlign w:val="center"/>
          </w:tcPr>
          <w:p w14:paraId="75756001">
            <w:pPr>
              <w:widowControl/>
              <w:jc w:val="center"/>
              <w:rPr>
                <w:rFonts w:ascii="宋体" w:hAnsi="宋体" w:cs="Arial"/>
                <w:color w:val="000000"/>
                <w:kern w:val="0"/>
                <w:sz w:val="20"/>
                <w:szCs w:val="20"/>
              </w:rPr>
            </w:pPr>
            <w:r>
              <w:rPr>
                <w:rFonts w:hint="eastAsia" w:ascii="宋体" w:hAnsi="宋体" w:cs="Arial"/>
                <w:color w:val="000000"/>
                <w:kern w:val="0"/>
                <w:sz w:val="20"/>
                <w:szCs w:val="20"/>
              </w:rPr>
              <w:t>自评分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restart"/>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项目绩效实现情况（82分）</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restart"/>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决策目标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立项依据充分性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充分</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立项程序规范性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规范</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绩效指标明确性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明确</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绩效目标合理性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合理</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预算编制科学性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科学</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资金分配合理性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合理</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restart"/>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过程目标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预算执行率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8</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99.3%</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7.72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资金到位率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资金使用合规性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合规</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制度执行有效性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有效</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管理制度健全性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健全</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restart"/>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产出目标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支付人员劳务费</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=12次</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3.75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12次</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3.75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支付物业费次数</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=4次</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3.75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6次</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支付租金次数</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&gt;=4</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3.75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6</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书籍维护保存完好率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&gt;=95</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3.75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95</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3.75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租金支出及时性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及时</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3.75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3.75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人员费用支付及时性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及时</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3.75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3.75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水电费支出及时性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及时</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3.75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3.75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物业费支付及时性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及时</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3.75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3.75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restart"/>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效益目标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提供馆藏书籍查阅</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提供</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8.75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8.75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提高馆藏志书资料的利用率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提高</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8.75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8.75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提升方志知识、地方文化的宣传普及面</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提升</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8.75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8.75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满意度目标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服务对象满意度</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&gt;=90</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8.75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97</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8.75</w:t>
            </w:r>
          </w:p>
        </w:tc>
      </w:tr>
      <w:tr w14:paraId="1985E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7286" w:type="dxa"/>
            <w:gridSpan w:val="14"/>
            <w:tcBorders>
              <w:top w:val="single" w:color="auto" w:sz="4" w:space="0"/>
              <w:left w:val="single" w:color="auto" w:sz="4" w:space="0"/>
              <w:bottom w:val="single" w:color="auto" w:sz="4" w:space="0"/>
              <w:right w:val="single" w:color="auto" w:sz="4" w:space="0"/>
            </w:tcBorders>
            <w:vAlign w:val="center"/>
          </w:tcPr>
          <w:p w14:paraId="3B8FF91B">
            <w:pPr>
              <w:widowControl/>
              <w:jc w:val="center"/>
              <w:rPr>
                <w:rFonts w:ascii="宋体" w:hAnsi="宋体" w:cs="Arial"/>
                <w:color w:val="000000"/>
                <w:kern w:val="0"/>
                <w:sz w:val="20"/>
                <w:szCs w:val="20"/>
              </w:rPr>
            </w:pPr>
            <w:r>
              <w:rPr>
                <w:rFonts w:hint="eastAsia" w:ascii="宋体" w:hAnsi="宋体" w:cs="Arial"/>
                <w:color w:val="000000"/>
                <w:kern w:val="0"/>
                <w:sz w:val="20"/>
                <w:szCs w:val="20"/>
              </w:rPr>
              <w:t>合计</w:t>
            </w:r>
          </w:p>
        </w:tc>
        <w:tc>
          <w:tcPr>
            <w:tcW w:w="1215" w:type="dxa"/>
            <w:tcBorders>
              <w:top w:val="single" w:color="auto" w:sz="4" w:space="0"/>
              <w:left w:val="single" w:color="auto" w:sz="4" w:space="0"/>
              <w:bottom w:val="single" w:color="auto" w:sz="4" w:space="0"/>
              <w:right w:val="single" w:color="auto" w:sz="4" w:space="0"/>
            </w:tcBorders>
            <w:vAlign w:val="center"/>
          </w:tcPr>
          <w:p w14:paraId="13AA0736">
            <w:pPr>
              <w:widowControl/>
              <w:jc w:val="left"/>
              <w:rPr>
                <w:rFonts w:ascii="宋体" w:hAnsi="宋体" w:cs="Arial"/>
                <w:color w:val="000000"/>
                <w:kern w:val="0"/>
                <w:sz w:val="20"/>
                <w:szCs w:val="20"/>
              </w:rPr>
            </w:pPr>
            <w:r>
              <w:rPr>
                <w:rFonts w:hint="eastAsia" w:ascii="宋体" w:hAnsi="宋体"/>
                <w:sz w:val="22"/>
              </w:rPr>
              <w:t>80.22</w:t>
            </w:r>
          </w:p>
        </w:tc>
      </w:tr>
    </w:tbl>
    <w:p w14:paraId="53E4C701"/>
    <w:tbl>
      <w:tblPr>
        <w:tblStyle w:val="5"/>
        <w:tblW w:w="8506" w:type="dxa"/>
        <w:tblInd w:w="-147" w:type="dxa"/>
        <w:tblLayout w:type="autofit"/>
        <w:tblCellMar>
          <w:top w:w="0" w:type="dxa"/>
          <w:left w:w="0" w:type="dxa"/>
          <w:bottom w:w="0" w:type="dxa"/>
          <w:right w:w="0" w:type="dxa"/>
        </w:tblCellMar>
      </w:tblPr>
      <w:tblGrid>
        <w:gridCol w:w="1547"/>
        <w:gridCol w:w="840"/>
        <w:gridCol w:w="960"/>
        <w:gridCol w:w="960"/>
        <w:gridCol w:w="960"/>
        <w:gridCol w:w="960"/>
        <w:gridCol w:w="960"/>
        <w:gridCol w:w="1319"/>
      </w:tblGrid>
      <w:tr w14:paraId="1F71ADA4">
        <w:tblPrEx>
          <w:tblCellMar>
            <w:top w:w="0" w:type="dxa"/>
            <w:left w:w="0" w:type="dxa"/>
            <w:bottom w:w="0" w:type="dxa"/>
            <w:right w:w="0" w:type="dxa"/>
          </w:tblCellMar>
        </w:tblPrEx>
        <w:tc>
          <w:tcPr>
            <w:tcW w:w="8506"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6225990">
            <w:pPr>
              <w:jc w:val="center"/>
              <w:rPr>
                <w:rFonts w:cs="Arial"/>
                <w:color w:val="000000"/>
                <w:sz w:val="22"/>
              </w:rPr>
            </w:pPr>
            <w:r>
              <w:rPr>
                <w:rFonts w:hint="eastAsia" w:eastAsia="黑体"/>
                <w:color w:val="000000"/>
                <w:kern w:val="0"/>
                <w:sz w:val="21"/>
                <w:szCs w:val="21"/>
                <w:highlight w:val="yellow"/>
              </w:rPr>
              <w:t>填表说明：</w:t>
            </w:r>
            <w:r>
              <w:rPr>
                <w:rFonts w:hint="eastAsia" w:eastAsia="楷体_GB2312"/>
                <w:b/>
                <w:color w:val="000000"/>
                <w:kern w:val="0"/>
                <w:sz w:val="21"/>
                <w:szCs w:val="21"/>
                <w:highlight w:val="yellow"/>
              </w:rPr>
              <w:t>1．</w:t>
            </w:r>
            <w:r>
              <w:rPr>
                <w:rFonts w:hint="eastAsia" w:eastAsia="楷体_GB2312"/>
                <w:color w:val="000000"/>
                <w:kern w:val="0"/>
                <w:sz w:val="21"/>
                <w:szCs w:val="21"/>
                <w:highlight w:val="yellow"/>
              </w:rPr>
              <w:t>“年初预算数”填</w:t>
            </w:r>
            <w:r>
              <w:rPr>
                <w:rFonts w:hint="eastAsia" w:eastAsia="楷体_GB2312"/>
                <w:color w:val="000000"/>
                <w:kern w:val="0"/>
                <w:sz w:val="21"/>
                <w:szCs w:val="21"/>
                <w:highlight w:val="yellow"/>
                <w:lang w:eastAsia="zh-CN"/>
              </w:rPr>
              <w:t>预算批复</w:t>
            </w:r>
            <w:r>
              <w:rPr>
                <w:rFonts w:hint="eastAsia" w:eastAsia="楷体_GB2312"/>
                <w:color w:val="000000"/>
                <w:kern w:val="0"/>
                <w:sz w:val="21"/>
                <w:szCs w:val="21"/>
                <w:highlight w:val="yellow"/>
              </w:rPr>
              <w:t>数；“当年使用上年结余、结转及当年预算</w:t>
            </w:r>
            <w:r>
              <w:rPr>
                <w:rFonts w:hint="eastAsia" w:eastAsia="楷体_GB2312"/>
                <w:color w:val="000000"/>
                <w:kern w:val="0"/>
                <w:sz w:val="21"/>
                <w:szCs w:val="21"/>
                <w:highlight w:val="yellow"/>
                <w:lang w:val="en-US" w:eastAsia="zh-CN"/>
              </w:rPr>
              <w:t>追加追减</w:t>
            </w:r>
            <w:r>
              <w:rPr>
                <w:rFonts w:hint="eastAsia" w:eastAsia="楷体_GB2312"/>
                <w:color w:val="000000"/>
                <w:kern w:val="0"/>
                <w:sz w:val="21"/>
                <w:szCs w:val="21"/>
                <w:highlight w:val="yellow"/>
              </w:rPr>
              <w:t>数”填当年使用上年结余、结转数以及追加或</w:t>
            </w:r>
            <w:r>
              <w:rPr>
                <w:rFonts w:hint="eastAsia" w:eastAsia="楷体_GB2312"/>
                <w:color w:val="000000"/>
                <w:kern w:val="0"/>
                <w:sz w:val="21"/>
                <w:szCs w:val="21"/>
                <w:highlight w:val="yellow"/>
                <w:lang w:val="en-US" w:eastAsia="zh-CN"/>
              </w:rPr>
              <w:t>追减</w:t>
            </w:r>
            <w:r>
              <w:rPr>
                <w:rFonts w:hint="eastAsia" w:eastAsia="楷体_GB2312"/>
                <w:color w:val="000000"/>
                <w:kern w:val="0"/>
                <w:sz w:val="21"/>
                <w:szCs w:val="21"/>
                <w:highlight w:val="yellow"/>
              </w:rPr>
              <w:t>预算数；“财政拨款数”填财政部门实际拨付的款项数；“实际支付数”填资金实际支付到最终使用者的数额；“结转数”填结转以后年度使用的资金数；“财政收回数”填财政部门收回的资金数。指标结余数=年初预算数+当年使用上年结余、结转及当年预算</w:t>
            </w:r>
            <w:r>
              <w:rPr>
                <w:rFonts w:hint="eastAsia" w:eastAsia="楷体_GB2312"/>
                <w:color w:val="000000"/>
                <w:kern w:val="0"/>
                <w:sz w:val="21"/>
                <w:szCs w:val="21"/>
                <w:highlight w:val="yellow"/>
                <w:lang w:val="en-US" w:eastAsia="zh-CN"/>
              </w:rPr>
              <w:t>追加追减</w:t>
            </w:r>
            <w:r>
              <w:rPr>
                <w:rFonts w:hint="eastAsia" w:eastAsia="楷体_GB2312"/>
                <w:color w:val="000000"/>
                <w:kern w:val="0"/>
                <w:sz w:val="21"/>
                <w:szCs w:val="21"/>
                <w:highlight w:val="yellow"/>
              </w:rPr>
              <w:t>数-财政拨款数；</w:t>
            </w:r>
            <w:r>
              <w:rPr>
                <w:rFonts w:hint="eastAsia" w:eastAsia="楷体_GB2312"/>
                <w:color w:val="000000"/>
                <w:kern w:val="0"/>
                <w:sz w:val="21"/>
                <w:szCs w:val="21"/>
                <w:highlight w:val="yellow"/>
                <w:lang w:val="en-US" w:eastAsia="zh-CN"/>
              </w:rPr>
              <w:t>计划结余数</w:t>
            </w:r>
            <w:r>
              <w:rPr>
                <w:rFonts w:hint="eastAsia" w:eastAsia="楷体_GB2312"/>
                <w:color w:val="000000"/>
                <w:kern w:val="0"/>
                <w:sz w:val="21"/>
                <w:szCs w:val="21"/>
                <w:highlight w:val="yellow"/>
              </w:rPr>
              <w:t>=财政拨款数-实际支付数=</w:t>
            </w:r>
            <w:r>
              <w:rPr>
                <w:rFonts w:hint="eastAsia" w:eastAsia="楷体_GB2312"/>
                <w:color w:val="000000"/>
                <w:kern w:val="0"/>
                <w:sz w:val="21"/>
                <w:szCs w:val="21"/>
                <w:highlight w:val="yellow"/>
                <w:lang w:val="en-US" w:eastAsia="zh-CN"/>
              </w:rPr>
              <w:t>计划</w:t>
            </w:r>
            <w:r>
              <w:rPr>
                <w:rFonts w:hint="eastAsia" w:eastAsia="楷体_GB2312"/>
                <w:color w:val="000000"/>
                <w:kern w:val="0"/>
                <w:sz w:val="21"/>
                <w:szCs w:val="21"/>
                <w:highlight w:val="yellow"/>
              </w:rPr>
              <w:t>结转数+财政收回数。</w:t>
            </w:r>
            <w:r>
              <w:rPr>
                <w:rFonts w:hint="eastAsia" w:eastAsia="楷体_GB2312"/>
                <w:b/>
                <w:color w:val="000000"/>
                <w:kern w:val="0"/>
                <w:sz w:val="21"/>
                <w:szCs w:val="21"/>
                <w:highlight w:val="yellow"/>
                <w:lang w:val="en-US" w:eastAsia="zh-CN"/>
              </w:rPr>
              <w:t>2</w:t>
            </w:r>
            <w:r>
              <w:rPr>
                <w:rFonts w:hint="eastAsia" w:eastAsia="楷体_GB2312"/>
                <w:b/>
                <w:color w:val="000000"/>
                <w:kern w:val="0"/>
                <w:sz w:val="21"/>
                <w:szCs w:val="21"/>
                <w:highlight w:val="yellow"/>
              </w:rPr>
              <w:t>．</w:t>
            </w:r>
            <w:r>
              <w:rPr>
                <w:rFonts w:hint="eastAsia" w:eastAsia="楷体_GB2312"/>
                <w:color w:val="000000"/>
                <w:kern w:val="0"/>
                <w:sz w:val="21"/>
                <w:szCs w:val="21"/>
                <w:highlight w:val="yellow"/>
              </w:rPr>
              <w:t>“</w:t>
            </w:r>
            <w:r>
              <w:rPr>
                <w:rFonts w:hint="eastAsia" w:eastAsia="楷体_GB2312"/>
                <w:color w:val="000000"/>
                <w:kern w:val="0"/>
                <w:sz w:val="21"/>
                <w:szCs w:val="21"/>
                <w:highlight w:val="yellow"/>
                <w:lang w:eastAsia="zh-CN"/>
              </w:rPr>
              <w:t>决策</w:t>
            </w:r>
            <w:r>
              <w:rPr>
                <w:rFonts w:hint="eastAsia" w:eastAsia="楷体_GB2312"/>
                <w:color w:val="000000"/>
                <w:kern w:val="0"/>
                <w:sz w:val="21"/>
                <w:szCs w:val="21"/>
                <w:highlight w:val="yellow"/>
              </w:rPr>
              <w:t>”</w:t>
            </w:r>
            <w:r>
              <w:rPr>
                <w:rFonts w:hint="eastAsia" w:eastAsia="楷体_GB2312"/>
                <w:color w:val="000000"/>
                <w:kern w:val="0"/>
                <w:sz w:val="21"/>
                <w:szCs w:val="21"/>
                <w:highlight w:val="yellow"/>
                <w:lang w:eastAsia="zh-CN"/>
              </w:rPr>
              <w:t>、“过程”</w:t>
            </w:r>
            <w:r>
              <w:rPr>
                <w:rFonts w:hint="eastAsia" w:eastAsia="楷体_GB2312"/>
                <w:color w:val="000000"/>
                <w:kern w:val="0"/>
                <w:sz w:val="21"/>
                <w:szCs w:val="21"/>
                <w:highlight w:val="yellow"/>
              </w:rPr>
              <w:t>类指标</w:t>
            </w:r>
            <w:r>
              <w:rPr>
                <w:rFonts w:hint="eastAsia" w:eastAsia="楷体_GB2312"/>
                <w:color w:val="000000"/>
                <w:kern w:val="0"/>
                <w:sz w:val="21"/>
                <w:szCs w:val="21"/>
                <w:highlight w:val="yellow"/>
                <w:lang w:eastAsia="zh-CN"/>
              </w:rPr>
              <w:t>每个指标的权重值固定</w:t>
            </w:r>
            <w:r>
              <w:rPr>
                <w:rFonts w:hint="eastAsia" w:eastAsia="楷体_GB2312"/>
                <w:color w:val="000000"/>
                <w:kern w:val="0"/>
                <w:sz w:val="21"/>
                <w:szCs w:val="21"/>
                <w:highlight w:val="yellow"/>
              </w:rPr>
              <w:t>，“产出”、“</w:t>
            </w:r>
            <w:r>
              <w:rPr>
                <w:rFonts w:hint="eastAsia" w:eastAsia="楷体_GB2312"/>
                <w:color w:val="000000"/>
                <w:kern w:val="0"/>
                <w:sz w:val="21"/>
                <w:szCs w:val="21"/>
                <w:highlight w:val="yellow"/>
                <w:lang w:eastAsia="zh-CN"/>
              </w:rPr>
              <w:t>效益</w:t>
            </w:r>
            <w:r>
              <w:rPr>
                <w:rFonts w:hint="eastAsia" w:eastAsia="楷体_GB2312"/>
                <w:color w:val="000000"/>
                <w:kern w:val="0"/>
                <w:sz w:val="21"/>
                <w:szCs w:val="21"/>
                <w:highlight w:val="yellow"/>
              </w:rPr>
              <w:t>”、“</w:t>
            </w:r>
            <w:r>
              <w:rPr>
                <w:rFonts w:hint="eastAsia" w:eastAsia="楷体_GB2312"/>
                <w:color w:val="000000"/>
                <w:kern w:val="0"/>
                <w:sz w:val="21"/>
                <w:szCs w:val="21"/>
                <w:highlight w:val="yellow"/>
                <w:lang w:eastAsia="zh-CN"/>
              </w:rPr>
              <w:t>满意度</w:t>
            </w:r>
            <w:r>
              <w:rPr>
                <w:rFonts w:hint="eastAsia" w:eastAsia="楷体_GB2312"/>
                <w:color w:val="000000"/>
                <w:kern w:val="0"/>
                <w:sz w:val="21"/>
                <w:szCs w:val="21"/>
                <w:highlight w:val="yellow"/>
              </w:rPr>
              <w:t>”指标权重值是根据指标数量将</w:t>
            </w:r>
            <w:r>
              <w:rPr>
                <w:rFonts w:hint="eastAsia" w:eastAsia="楷体_GB2312"/>
                <w:color w:val="000000"/>
                <w:kern w:val="0"/>
                <w:sz w:val="21"/>
                <w:szCs w:val="21"/>
                <w:highlight w:val="yellow"/>
                <w:lang w:val="en-US" w:eastAsia="zh-CN"/>
              </w:rPr>
              <w:t>每类</w:t>
            </w:r>
            <w:r>
              <w:rPr>
                <w:rFonts w:hint="eastAsia" w:eastAsia="楷体_GB2312"/>
                <w:color w:val="000000"/>
                <w:kern w:val="0"/>
                <w:sz w:val="21"/>
                <w:szCs w:val="21"/>
                <w:highlight w:val="yellow"/>
                <w:lang w:eastAsia="zh-CN"/>
              </w:rPr>
              <w:t>指标总</w:t>
            </w:r>
            <w:r>
              <w:rPr>
                <w:rFonts w:hint="eastAsia" w:eastAsia="楷体_GB2312"/>
                <w:color w:val="000000"/>
                <w:kern w:val="0"/>
                <w:sz w:val="21"/>
                <w:szCs w:val="21"/>
                <w:highlight w:val="yellow"/>
              </w:rPr>
              <w:t>分值分摊到各项指标，即各项指标分值=</w:t>
            </w:r>
            <w:r>
              <w:rPr>
                <w:rFonts w:hint="eastAsia" w:eastAsia="楷体_GB2312"/>
                <w:color w:val="000000"/>
                <w:kern w:val="0"/>
                <w:sz w:val="21"/>
                <w:szCs w:val="21"/>
                <w:highlight w:val="yellow"/>
                <w:lang w:val="en-US" w:eastAsia="zh-CN"/>
              </w:rPr>
              <w:t>每类</w:t>
            </w:r>
            <w:r>
              <w:rPr>
                <w:rFonts w:hint="eastAsia" w:eastAsia="楷体_GB2312"/>
                <w:color w:val="000000"/>
                <w:kern w:val="0"/>
                <w:sz w:val="21"/>
                <w:szCs w:val="21"/>
                <w:highlight w:val="yellow"/>
                <w:lang w:eastAsia="zh-CN"/>
              </w:rPr>
              <w:t>指标</w:t>
            </w:r>
            <w:r>
              <w:rPr>
                <w:rFonts w:hint="eastAsia" w:eastAsia="楷体_GB2312"/>
                <w:color w:val="000000"/>
                <w:kern w:val="0"/>
                <w:sz w:val="21"/>
                <w:szCs w:val="21"/>
                <w:highlight w:val="yellow"/>
              </w:rPr>
              <w:t>总分值/</w:t>
            </w:r>
            <w:r>
              <w:rPr>
                <w:rFonts w:hint="eastAsia" w:eastAsia="楷体_GB2312"/>
                <w:color w:val="000000"/>
                <w:kern w:val="0"/>
                <w:sz w:val="21"/>
                <w:szCs w:val="21"/>
                <w:highlight w:val="yellow"/>
                <w:lang w:val="en-US" w:eastAsia="zh-CN"/>
              </w:rPr>
              <w:t>该类</w:t>
            </w:r>
            <w:r>
              <w:rPr>
                <w:rFonts w:hint="eastAsia" w:eastAsia="楷体_GB2312"/>
                <w:color w:val="000000"/>
                <w:kern w:val="0"/>
                <w:sz w:val="21"/>
                <w:szCs w:val="21"/>
                <w:highlight w:val="yellow"/>
              </w:rPr>
              <w:t>指标个数。</w:t>
            </w:r>
            <w:r>
              <w:rPr>
                <w:rFonts w:hint="eastAsia" w:eastAsia="楷体_GB2312"/>
                <w:b/>
                <w:color w:val="000000"/>
                <w:kern w:val="0"/>
                <w:sz w:val="21"/>
                <w:szCs w:val="21"/>
                <w:highlight w:val="yellow"/>
                <w:lang w:val="en-US" w:eastAsia="zh-CN"/>
              </w:rPr>
              <w:t>3</w:t>
            </w:r>
            <w:r>
              <w:rPr>
                <w:rFonts w:hint="eastAsia" w:eastAsia="楷体_GB2312"/>
                <w:b/>
                <w:color w:val="000000"/>
                <w:kern w:val="0"/>
                <w:sz w:val="21"/>
                <w:szCs w:val="21"/>
                <w:highlight w:val="yellow"/>
              </w:rPr>
              <w:t>．</w:t>
            </w:r>
            <w:r>
              <w:rPr>
                <w:rFonts w:hint="eastAsia" w:eastAsia="楷体_GB2312"/>
                <w:color w:val="000000"/>
                <w:kern w:val="0"/>
                <w:sz w:val="21"/>
                <w:szCs w:val="21"/>
                <w:highlight w:val="yellow"/>
              </w:rPr>
              <w:t>各项数据采集的时间节点均为202</w:t>
            </w:r>
            <w:r>
              <w:rPr>
                <w:rFonts w:hint="eastAsia" w:eastAsia="楷体_GB2312"/>
                <w:color w:val="000000"/>
                <w:kern w:val="0"/>
                <w:sz w:val="21"/>
                <w:szCs w:val="21"/>
                <w:highlight w:val="yellow"/>
                <w:lang w:val="en-US" w:eastAsia="zh-CN"/>
              </w:rPr>
              <w:t>4</w:t>
            </w:r>
            <w:r>
              <w:rPr>
                <w:rFonts w:hint="eastAsia" w:eastAsia="楷体_GB2312"/>
                <w:color w:val="000000"/>
                <w:kern w:val="0"/>
                <w:sz w:val="21"/>
                <w:szCs w:val="21"/>
                <w:highlight w:val="yellow"/>
              </w:rPr>
              <w:t>年12月31日。</w:t>
            </w:r>
            <w:r>
              <w:rPr>
                <w:rFonts w:hint="eastAsia" w:eastAsia="楷体_GB2312"/>
                <w:b/>
                <w:color w:val="000000"/>
                <w:kern w:val="0"/>
                <w:sz w:val="21"/>
                <w:szCs w:val="21"/>
                <w:highlight w:val="yellow"/>
                <w:lang w:val="en-US" w:eastAsia="zh-CN"/>
              </w:rPr>
              <w:t>4</w:t>
            </w:r>
            <w:r>
              <w:rPr>
                <w:rFonts w:hint="eastAsia" w:eastAsia="楷体_GB2312"/>
                <w:b/>
                <w:color w:val="000000"/>
                <w:kern w:val="0"/>
                <w:sz w:val="21"/>
                <w:szCs w:val="21"/>
                <w:highlight w:val="yellow"/>
              </w:rPr>
              <w:t>．</w:t>
            </w:r>
            <w:r>
              <w:rPr>
                <w:rFonts w:hint="eastAsia" w:eastAsia="楷体_GB2312"/>
                <w:color w:val="000000"/>
                <w:kern w:val="0"/>
                <w:sz w:val="21"/>
                <w:szCs w:val="21"/>
                <w:highlight w:val="yellow"/>
              </w:rPr>
              <w:t>定性指标</w:t>
            </w:r>
            <w:r>
              <w:rPr>
                <w:rFonts w:hint="eastAsia" w:eastAsia="楷体_GB2312"/>
                <w:color w:val="000000"/>
                <w:kern w:val="0"/>
                <w:sz w:val="21"/>
                <w:szCs w:val="21"/>
                <w:highlight w:val="yellow"/>
                <w:lang w:eastAsia="zh-CN"/>
              </w:rPr>
              <w:t>根据实际完成情况按照</w:t>
            </w:r>
            <w:r>
              <w:rPr>
                <w:rFonts w:hint="eastAsia" w:eastAsia="楷体_GB2312"/>
                <w:color w:val="000000"/>
                <w:kern w:val="0"/>
                <w:sz w:val="21"/>
                <w:szCs w:val="21"/>
                <w:highlight w:val="yellow"/>
              </w:rPr>
              <w:t>100%、80%、60%、40%</w:t>
            </w:r>
            <w:r>
              <w:rPr>
                <w:rFonts w:hint="eastAsia" w:eastAsia="楷体_GB2312"/>
                <w:color w:val="000000"/>
                <w:kern w:val="0"/>
                <w:sz w:val="21"/>
                <w:szCs w:val="21"/>
                <w:highlight w:val="yellow"/>
                <w:lang w:eastAsia="zh-CN"/>
              </w:rPr>
              <w:t>、</w:t>
            </w:r>
            <w:r>
              <w:rPr>
                <w:rFonts w:hint="eastAsia" w:eastAsia="楷体_GB2312"/>
                <w:color w:val="000000"/>
                <w:kern w:val="0"/>
                <w:sz w:val="21"/>
                <w:szCs w:val="21"/>
                <w:highlight w:val="yellow"/>
              </w:rPr>
              <w:t>20%</w:t>
            </w:r>
            <w:r>
              <w:rPr>
                <w:rFonts w:hint="eastAsia" w:eastAsia="楷体_GB2312"/>
                <w:color w:val="000000"/>
                <w:kern w:val="0"/>
                <w:sz w:val="21"/>
                <w:szCs w:val="21"/>
                <w:highlight w:val="yellow"/>
                <w:lang w:eastAsia="zh-CN"/>
              </w:rPr>
              <w:t>、</w:t>
            </w:r>
            <w:r>
              <w:rPr>
                <w:rFonts w:hint="eastAsia" w:eastAsia="楷体_GB2312"/>
                <w:color w:val="000000"/>
                <w:kern w:val="0"/>
                <w:sz w:val="21"/>
                <w:szCs w:val="21"/>
                <w:highlight w:val="yellow"/>
                <w:lang w:val="en-US" w:eastAsia="zh-CN"/>
              </w:rPr>
              <w:t>0六级权重予以评分</w:t>
            </w:r>
            <w:r>
              <w:rPr>
                <w:rFonts w:hint="eastAsia" w:eastAsia="楷体_GB2312"/>
                <w:color w:val="000000"/>
                <w:kern w:val="0"/>
                <w:sz w:val="21"/>
                <w:szCs w:val="21"/>
                <w:highlight w:val="yellow"/>
              </w:rPr>
              <w:t>。定量指标评分规则：“产出”类每项指标的实际完成值对应预期设定的目标值，完成100%～130%得权重值满分，超过130%的每超过1%扣权重值1%；</w:t>
            </w:r>
            <w:r>
              <w:rPr>
                <w:rFonts w:hint="eastAsia" w:eastAsia="楷体_GB2312"/>
                <w:color w:val="000000"/>
                <w:kern w:val="0"/>
                <w:sz w:val="21"/>
                <w:szCs w:val="21"/>
                <w:highlight w:val="yellow"/>
                <w:lang w:eastAsia="zh-CN"/>
              </w:rPr>
              <w:t>“决策”、</w:t>
            </w:r>
            <w:r>
              <w:rPr>
                <w:rFonts w:hint="eastAsia" w:eastAsia="楷体_GB2312"/>
                <w:color w:val="000000"/>
                <w:kern w:val="0"/>
                <w:sz w:val="21"/>
                <w:szCs w:val="21"/>
                <w:highlight w:val="yellow"/>
              </w:rPr>
              <w:t>“</w:t>
            </w:r>
            <w:r>
              <w:rPr>
                <w:rFonts w:hint="eastAsia" w:eastAsia="楷体_GB2312"/>
                <w:color w:val="000000"/>
                <w:kern w:val="0"/>
                <w:sz w:val="21"/>
                <w:szCs w:val="21"/>
                <w:highlight w:val="yellow"/>
                <w:lang w:eastAsia="zh-CN"/>
              </w:rPr>
              <w:t>过程</w:t>
            </w:r>
            <w:r>
              <w:rPr>
                <w:rFonts w:hint="eastAsia" w:eastAsia="楷体_GB2312"/>
                <w:color w:val="000000"/>
                <w:kern w:val="0"/>
                <w:sz w:val="21"/>
                <w:szCs w:val="21"/>
                <w:highlight w:val="yellow"/>
              </w:rPr>
              <w:t>”、“</w:t>
            </w:r>
            <w:r>
              <w:rPr>
                <w:rFonts w:hint="eastAsia" w:eastAsia="楷体_GB2312"/>
                <w:color w:val="000000"/>
                <w:kern w:val="0"/>
                <w:sz w:val="21"/>
                <w:szCs w:val="21"/>
                <w:highlight w:val="yellow"/>
                <w:lang w:eastAsia="zh-CN"/>
              </w:rPr>
              <w:t>满意度</w:t>
            </w:r>
            <w:r>
              <w:rPr>
                <w:rFonts w:hint="eastAsia" w:eastAsia="楷体_GB2312"/>
                <w:color w:val="000000"/>
                <w:kern w:val="0"/>
                <w:sz w:val="21"/>
                <w:szCs w:val="21"/>
                <w:highlight w:val="yellow"/>
              </w:rPr>
              <w:t>”类指标以100%为满分</w:t>
            </w:r>
            <w:r>
              <w:rPr>
                <w:rFonts w:hint="eastAsia" w:eastAsia="楷体_GB2312"/>
                <w:color w:val="000000"/>
                <w:kern w:val="0"/>
                <w:sz w:val="21"/>
                <w:szCs w:val="21"/>
                <w:highlight w:val="yellow"/>
                <w:lang w:eastAsia="zh-CN"/>
              </w:rPr>
              <w:t>；</w:t>
            </w:r>
            <w:r>
              <w:rPr>
                <w:rFonts w:hint="eastAsia" w:eastAsia="楷体_GB2312"/>
                <w:color w:val="000000"/>
                <w:kern w:val="0"/>
                <w:sz w:val="21"/>
                <w:szCs w:val="21"/>
                <w:highlight w:val="yellow"/>
              </w:rPr>
              <w:t>“</w:t>
            </w:r>
            <w:r>
              <w:rPr>
                <w:rFonts w:hint="eastAsia" w:eastAsia="楷体_GB2312"/>
                <w:color w:val="000000"/>
                <w:kern w:val="0"/>
                <w:sz w:val="21"/>
                <w:szCs w:val="21"/>
                <w:highlight w:val="yellow"/>
                <w:lang w:eastAsia="zh-CN"/>
              </w:rPr>
              <w:t>效益</w:t>
            </w:r>
            <w:r>
              <w:rPr>
                <w:rFonts w:hint="eastAsia" w:eastAsia="楷体_GB2312"/>
                <w:color w:val="000000"/>
                <w:kern w:val="0"/>
                <w:sz w:val="21"/>
                <w:szCs w:val="21"/>
                <w:highlight w:val="yellow"/>
              </w:rPr>
              <w:t>”类每项指标的实际完成值对应预期设定的目标值，完成100%～200%得权重值满分，超过200%的每超过1%扣权重值1%；</w:t>
            </w:r>
            <w:r>
              <w:rPr>
                <w:rFonts w:hint="eastAsia" w:eastAsia="楷体_GB2312"/>
                <w:color w:val="000000"/>
                <w:kern w:val="0"/>
                <w:sz w:val="21"/>
                <w:szCs w:val="21"/>
                <w:highlight w:val="yellow"/>
                <w:lang w:eastAsia="zh-CN"/>
              </w:rPr>
              <w:t>五</w:t>
            </w:r>
            <w:r>
              <w:rPr>
                <w:rFonts w:hint="eastAsia" w:eastAsia="楷体_GB2312"/>
                <w:color w:val="000000"/>
                <w:kern w:val="0"/>
                <w:sz w:val="21"/>
                <w:szCs w:val="21"/>
                <w:highlight w:val="yellow"/>
              </w:rPr>
              <w:t>类指标的所有指标实际完成值每低于目标值1个百分点相应扣减权重值的5%；某项指标无法提供具体数值，且无说明，得0分。</w:t>
            </w:r>
          </w:p>
        </w:tc>
      </w:tr>
      <w:tr w14:paraId="63191C17">
        <w:tblPrEx>
          <w:tblCellMar>
            <w:top w:w="0" w:type="dxa"/>
            <w:left w:w="0" w:type="dxa"/>
            <w:bottom w:w="0" w:type="dxa"/>
            <w:right w:w="0" w:type="dxa"/>
          </w:tblCellMar>
        </w:tblPrEx>
        <w:trPr>
          <w:trHeight w:val="450" w:hRule="atLeast"/>
        </w:trPr>
        <w:tc>
          <w:tcPr>
            <w:tcW w:w="8506"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38DB8AAC">
            <w:pPr>
              <w:jc w:val="center"/>
              <w:rPr>
                <w:rFonts w:cs="Arial"/>
                <w:b/>
                <w:bCs/>
                <w:color w:val="000000"/>
                <w:sz w:val="36"/>
                <w:szCs w:val="36"/>
              </w:rPr>
            </w:pPr>
            <w:r>
              <w:rPr>
                <w:rFonts w:hint="eastAsia" w:cs="Arial"/>
                <w:b/>
                <w:bCs/>
                <w:color w:val="000000"/>
                <w:sz w:val="36"/>
                <w:szCs w:val="36"/>
              </w:rPr>
              <w:t>项目基本情况</w:t>
            </w:r>
          </w:p>
        </w:tc>
      </w:tr>
      <w:tr w14:paraId="40F9D311">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0330E661">
            <w:pPr>
              <w:jc w:val="center"/>
              <w:rPr>
                <w:rFonts w:cs="Arial"/>
                <w:color w:val="000000"/>
                <w:sz w:val="22"/>
              </w:rPr>
            </w:pPr>
            <w:r>
              <w:rPr>
                <w:rFonts w:hint="eastAsia" w:cs="Arial"/>
                <w:color w:val="000000"/>
                <w:sz w:val="22"/>
              </w:rPr>
              <w:t>项目概况</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08BD89CE">
            <w:pPr>
              <w:jc w:val="center"/>
              <w:rPr>
                <w:rFonts w:cs="Arial"/>
                <w:color w:val="000000"/>
                <w:sz w:val="22"/>
              </w:rPr>
            </w:pPr>
            <w:r>
              <w:rPr>
                <w:rFonts w:hint="eastAsia" w:cs="Arial"/>
                <w:color w:val="000000"/>
                <w:sz w:val="22"/>
              </w:rPr>
              <w:t>苏州市方志馆从五卅路迁建于桃花坞历史文化片区的唐寅故居文化区内，2023年12月正式开馆运行，为群众提供志书阅览、资料打印、地情文化讲座、未成年人体验活动等文化服务工作。</w:t>
            </w:r>
          </w:p>
        </w:tc>
      </w:tr>
      <w:tr w14:paraId="3F7D503F">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08A2DDDF">
            <w:pPr>
              <w:jc w:val="center"/>
              <w:rPr>
                <w:rFonts w:cs="Arial"/>
                <w:color w:val="000000"/>
                <w:sz w:val="22"/>
              </w:rPr>
            </w:pPr>
            <w:r>
              <w:rPr>
                <w:rFonts w:hint="eastAsia" w:cs="Arial"/>
                <w:color w:val="000000"/>
                <w:sz w:val="22"/>
              </w:rPr>
              <w:t>项目总目标</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06F46EBD">
            <w:pPr>
              <w:jc w:val="center"/>
              <w:rPr>
                <w:rFonts w:cs="Arial"/>
                <w:color w:val="000000"/>
                <w:sz w:val="22"/>
              </w:rPr>
            </w:pPr>
            <w:r>
              <w:rPr>
                <w:rFonts w:hint="eastAsia" w:cs="Arial"/>
                <w:color w:val="000000"/>
                <w:sz w:val="22"/>
              </w:rPr>
              <w:t>苏州市方志馆开馆运行，2号楼2楼为群众提供志书阅览、资料打印等服务，在方志驿站不定期举办未成年人非遗体验活动。同时在4号楼方志大讲堂开设地情文化讲座、举办专题临展。</w:t>
            </w:r>
          </w:p>
        </w:tc>
      </w:tr>
      <w:tr w14:paraId="66FE8331">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4E03053C">
            <w:pPr>
              <w:jc w:val="center"/>
              <w:rPr>
                <w:rFonts w:cs="Arial"/>
                <w:color w:val="000000"/>
                <w:sz w:val="22"/>
              </w:rPr>
            </w:pPr>
            <w:r>
              <w:rPr>
                <w:rFonts w:hint="eastAsia" w:cs="Arial"/>
                <w:color w:val="000000"/>
                <w:sz w:val="22"/>
              </w:rPr>
              <w:t>年度绩效目标</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6E26212B">
            <w:pPr>
              <w:jc w:val="center"/>
              <w:rPr>
                <w:rFonts w:cs="Arial"/>
                <w:color w:val="000000"/>
                <w:sz w:val="22"/>
              </w:rPr>
            </w:pPr>
            <w:r>
              <w:rPr>
                <w:rFonts w:hint="eastAsia" w:cs="Arial"/>
                <w:color w:val="000000"/>
                <w:sz w:val="22"/>
              </w:rPr>
              <w:t>为到馆群众提供便捷、满意的阅读体验，邀请著名专家学者举办文化讲座，向群众普及苏州地情文化。在方志驿站举办苏州方志微课堂，邀请非遗传承人到馆举行核雕艺术、灯谜艺术等体验活动，让未成年人感受苏州传统文化的魅力，进一步提升方志知识、地方文化的普及面</w:t>
            </w:r>
          </w:p>
        </w:tc>
      </w:tr>
      <w:tr w14:paraId="1804F899">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592DBB5B">
            <w:pPr>
              <w:jc w:val="center"/>
              <w:rPr>
                <w:rFonts w:cs="Arial"/>
                <w:color w:val="000000"/>
                <w:sz w:val="22"/>
              </w:rPr>
            </w:pPr>
            <w:r>
              <w:rPr>
                <w:rFonts w:hint="eastAsia" w:cs="Arial"/>
                <w:color w:val="000000"/>
                <w:sz w:val="22"/>
              </w:rPr>
              <w:t>项目实施情况</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3C99E4F4">
            <w:pPr>
              <w:jc w:val="center"/>
              <w:rPr>
                <w:rFonts w:cs="Arial"/>
                <w:color w:val="000000"/>
                <w:sz w:val="22"/>
              </w:rPr>
            </w:pPr>
            <w:r>
              <w:rPr>
                <w:rFonts w:hint="eastAsia" w:cs="Arial"/>
                <w:color w:val="000000"/>
                <w:sz w:val="22"/>
              </w:rPr>
              <w:t>2023年12月苏州市方志馆新馆开馆以来，接待参观交流团队82批1600多人次，进馆阅览人员1.4万人次，2024年邀请著名专家学者举办文化讲座8场，同时推出面向未成年人的非遗文化体验活动，本办工作人员在方志馆方志驿站开展苏州方志微课堂4场。举办“风景旧曾谙--百年苏州影像特展”，除自发到馆观展的大量群众外，接待慕名来自全国、省内、各县级市（区）、各有关部门参观团队约70批次。</w:t>
            </w:r>
          </w:p>
        </w:tc>
      </w:tr>
      <w:tr w14:paraId="535425DA">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7ECEFA65">
            <w:pPr>
              <w:jc w:val="center"/>
              <w:rPr>
                <w:rFonts w:cs="Arial"/>
                <w:color w:val="000000"/>
                <w:sz w:val="22"/>
              </w:rPr>
            </w:pPr>
            <w:r>
              <w:rPr>
                <w:rFonts w:hint="eastAsia" w:cs="Arial"/>
                <w:color w:val="000000"/>
                <w:sz w:val="22"/>
              </w:rPr>
              <w:t>项目管理成效</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652A2A9A">
            <w:pPr>
              <w:jc w:val="center"/>
              <w:rPr>
                <w:rFonts w:cs="Arial"/>
                <w:color w:val="000000"/>
                <w:sz w:val="22"/>
              </w:rPr>
            </w:pPr>
            <w:r>
              <w:rPr>
                <w:rFonts w:hint="eastAsia" w:cs="Arial"/>
                <w:color w:val="000000"/>
                <w:sz w:val="22"/>
              </w:rPr>
              <w:t>新馆迁建新址后，通过提升管理服务、开放阅览空间等举措，较大的提升了苏州市方志馆来馆群众数量和馆藏书籍的利用率。通过活化利用地方志编纂成果，举办的“风景旧曾谙--百年苏州影像特展”得到了市领导和机关各部门和社会群众的好评，原定2个月的展期延长至6个月，被市委宣传部列为2024年度苏州市宣传思想文化工作典型案例。通过举办方志大讲堂文化讲座、方志微课堂、未成年人非遗体验活动，进一步扩大了方志知识和地方文化宣传和普及面。</w:t>
            </w:r>
          </w:p>
        </w:tc>
      </w:tr>
      <w:tr w14:paraId="0F48BD11">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44306255">
            <w:pPr>
              <w:jc w:val="center"/>
              <w:rPr>
                <w:rFonts w:cs="Arial"/>
                <w:color w:val="000000"/>
                <w:sz w:val="22"/>
              </w:rPr>
            </w:pPr>
            <w:r>
              <w:rPr>
                <w:rFonts w:hint="eastAsia" w:cs="Arial"/>
                <w:color w:val="000000"/>
                <w:sz w:val="22"/>
              </w:rPr>
              <w:t>项目管理存在的问题及原因</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65FFF646">
            <w:pPr>
              <w:jc w:val="center"/>
              <w:rPr>
                <w:rFonts w:cs="Arial"/>
                <w:color w:val="000000"/>
                <w:sz w:val="22"/>
              </w:rPr>
            </w:pPr>
            <w:r>
              <w:rPr>
                <w:rFonts w:hint="eastAsia" w:cs="Arial"/>
                <w:color w:val="000000"/>
                <w:sz w:val="22"/>
              </w:rPr>
              <w:t/>
            </w:r>
          </w:p>
        </w:tc>
      </w:tr>
      <w:tr w14:paraId="40B4A8E8">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17E0694B">
            <w:pPr>
              <w:jc w:val="center"/>
              <w:rPr>
                <w:rFonts w:cs="Arial"/>
                <w:color w:val="000000"/>
                <w:sz w:val="22"/>
              </w:rPr>
            </w:pPr>
            <w:r>
              <w:rPr>
                <w:rFonts w:hint="eastAsia" w:cs="Arial"/>
                <w:color w:val="000000"/>
                <w:sz w:val="22"/>
              </w:rPr>
              <w:t>进一步加强项目管理的建议</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33646680">
            <w:pPr>
              <w:jc w:val="center"/>
              <w:rPr>
                <w:rFonts w:cs="Arial"/>
                <w:color w:val="000000"/>
                <w:sz w:val="22"/>
              </w:rPr>
            </w:pPr>
            <w:r>
              <w:rPr>
                <w:rFonts w:hint="eastAsia" w:cs="Arial"/>
                <w:color w:val="000000"/>
                <w:sz w:val="22"/>
              </w:rPr>
              <w:t/>
            </w:r>
          </w:p>
        </w:tc>
      </w:tr>
      <w:tr w14:paraId="2E4D67B5">
        <w:tblPrEx>
          <w:tblCellMar>
            <w:top w:w="0" w:type="dxa"/>
            <w:left w:w="0" w:type="dxa"/>
            <w:bottom w:w="0" w:type="dxa"/>
            <w:right w:w="0" w:type="dxa"/>
          </w:tblCellMar>
        </w:tblPrEx>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14:paraId="0A012AEA">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14:paraId="65EC0628">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3BBF82A4">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337DE74C">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1AA72B84">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13D79E57">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0B1776AD">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14:paraId="3594B98F">
            <w:pPr>
              <w:rPr>
                <w:rFonts w:ascii="Arial" w:hAnsi="Arial" w:cs="Arial"/>
                <w:vanish/>
                <w:sz w:val="20"/>
                <w:szCs w:val="20"/>
              </w:rPr>
            </w:pPr>
          </w:p>
        </w:tc>
      </w:tr>
    </w:tbl>
    <w:p w14:paraId="29E3C3C8"/>
    <w:p w14:paraId="4527BC9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5AE70A1F"/>
    <w:rsid w:val="70126D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link w:val="1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uiPriority w:val="99"/>
    <w:rPr>
      <w:sz w:val="18"/>
      <w:szCs w:val="18"/>
    </w:rPr>
  </w:style>
  <w:style w:type="character" w:customStyle="1" w:styleId="8">
    <w:name w:val="页脚 Char"/>
    <w:basedOn w:val="6"/>
    <w:link w:val="3"/>
    <w:uiPriority w:val="99"/>
    <w:rPr>
      <w:sz w:val="18"/>
      <w:szCs w:val="18"/>
    </w:rPr>
  </w:style>
  <w:style w:type="character" w:customStyle="1" w:styleId="9">
    <w:name w:val="闻政标题4 Char"/>
    <w:link w:val="10"/>
    <w:qFormat/>
    <w:locked/>
    <w:uiPriority w:val="0"/>
    <w:rPr>
      <w:rFonts w:ascii="仿宋_GB2312" w:eastAsia="仿宋_GB2312"/>
      <w:b/>
      <w:bCs/>
      <w:sz w:val="28"/>
      <w:szCs w:val="32"/>
    </w:rPr>
  </w:style>
  <w:style w:type="paragraph" w:customStyle="1" w:styleId="10">
    <w:name w:val="闻政标题4"/>
    <w:basedOn w:val="2"/>
    <w:link w:val="9"/>
    <w:qFormat/>
    <w:uiPriority w:val="0"/>
    <w:pPr>
      <w:spacing w:before="120" w:after="60" w:line="500" w:lineRule="exact"/>
      <w:ind w:firstLine="200" w:firstLineChars="200"/>
      <w:jc w:val="left"/>
    </w:pPr>
    <w:rPr>
      <w:rFonts w:ascii="仿宋_GB2312" w:eastAsia="仿宋_GB2312" w:hAnsiTheme="minorHAnsi" w:cstheme="minorBidi"/>
      <w:sz w:val="28"/>
    </w:rPr>
  </w:style>
  <w:style w:type="character" w:customStyle="1" w:styleId="11">
    <w:name w:val="标题 2 Char"/>
    <w:basedOn w:val="6"/>
    <w:link w:val="2"/>
    <w:semiHidden/>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theme/theme1.xml" Type="http://schemas.openxmlformats.org/officeDocument/2006/relationships/theme"/>
<Relationship Id="rId4" Target="fontTable.xml" Type="http://schemas.openxmlformats.org/officeDocument/2006/relationships/fontTabl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868</Words>
  <Characters>1418</Characters>
  <Lines>12</Lines>
  <Paragraphs>3</Paragraphs>
  <TotalTime>0</TotalTime>
  <ScaleCrop>false</ScaleCrop>
  <LinksUpToDate>false</LinksUpToDate>
  <CharactersWithSpaces>1418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2022-01-12T10:53:00Z</dcterms:created>
  <dc:creator>成 王</dc:creator>
  <cp:lastModifiedBy>张彬</cp:lastModifiedBy>
  <dcterms:modified xsi:type="dcterms:W3CDTF">2025-02-11T11:08:05Z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eyJoZGlkIjoiYjI2ZWIxNzBhOWM3YmNkMjVjMWZjMWQ2NzA4MDFlZmYiLCJ1c2VySWQiOiIxNDU0MjIwNjc4In0=</vt:lpwstr>
  </property>
  <property fmtid="{D5CDD505-2E9C-101B-9397-08002B2CF9AE}" pid="3" name="KSOProductBuildVer">
    <vt:lpwstr>2052-12.1.0.19770</vt:lpwstr>
  </property>
  <property fmtid="{D5CDD505-2E9C-101B-9397-08002B2CF9AE}" pid="4" name="ICV">
    <vt:lpwstr>9F669C4FED13413589140FF1E65A5D7A_12</vt:lpwstr>
  </property>
</Properties>
</file>